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C5CCD">
      <w:pPr>
        <w:tabs>
          <w:tab w:val="left" w:pos="3433"/>
        </w:tabs>
        <w:jc w:val="center"/>
        <w:rPr>
          <w:rFonts w:hint="eastAsia" w:eastAsia="宋体"/>
          <w:b/>
          <w:sz w:val="56"/>
          <w:szCs w:val="56"/>
          <w:lang w:eastAsia="zh-CN"/>
        </w:rPr>
      </w:pPr>
    </w:p>
    <w:p w14:paraId="7E7F52CD">
      <w:pPr>
        <w:tabs>
          <w:tab w:val="left" w:pos="3433"/>
        </w:tabs>
        <w:jc w:val="center"/>
        <w:rPr>
          <w:rFonts w:hint="eastAsia"/>
          <w:b/>
          <w:sz w:val="56"/>
          <w:szCs w:val="56"/>
        </w:rPr>
      </w:pPr>
      <w:r>
        <w:rPr>
          <w:rFonts w:hint="eastAsia" w:eastAsia="宋体"/>
          <w:b/>
          <w:sz w:val="56"/>
          <w:szCs w:val="56"/>
          <w:lang w:eastAsia="zh-CN"/>
        </w:rPr>
        <w:drawing>
          <wp:inline distT="0" distB="0" distL="114300" distR="114300">
            <wp:extent cx="2312035" cy="1555115"/>
            <wp:effectExtent l="0" t="0" r="0" b="0"/>
            <wp:docPr id="3" name="图片 3" descr="6d2a33447a9681acd98b57714985b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d2a33447a9681acd98b57714985b4f"/>
                    <pic:cNvPicPr>
                      <a:picLocks noChangeAspect="1"/>
                    </pic:cNvPicPr>
                  </pic:nvPicPr>
                  <pic:blipFill>
                    <a:blip r:embed="rId5"/>
                    <a:srcRect l="6549" t="10436" r="6675" b="13362"/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30658">
      <w:pPr>
        <w:tabs>
          <w:tab w:val="left" w:pos="3433"/>
        </w:tabs>
        <w:jc w:val="both"/>
        <w:rPr>
          <w:rFonts w:hint="eastAsia"/>
          <w:b/>
          <w:sz w:val="56"/>
          <w:szCs w:val="56"/>
        </w:rPr>
      </w:pPr>
    </w:p>
    <w:p w14:paraId="30A79661">
      <w:pPr>
        <w:tabs>
          <w:tab w:val="left" w:pos="3433"/>
        </w:tabs>
        <w:jc w:val="center"/>
        <w:rPr>
          <w:rFonts w:hint="eastAsia"/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>云南</w:t>
      </w:r>
      <w:r>
        <w:rPr>
          <w:rFonts w:hint="eastAsia"/>
          <w:b/>
          <w:sz w:val="56"/>
          <w:szCs w:val="56"/>
          <w:lang w:eastAsia="zh-CN"/>
        </w:rPr>
        <w:t>海胶橡胶产业</w:t>
      </w:r>
      <w:r>
        <w:rPr>
          <w:rFonts w:hint="eastAsia"/>
          <w:b/>
          <w:sz w:val="56"/>
          <w:szCs w:val="56"/>
        </w:rPr>
        <w:t>有限公司</w:t>
      </w:r>
    </w:p>
    <w:p w14:paraId="03BFCDDE">
      <w:pPr>
        <w:tabs>
          <w:tab w:val="left" w:pos="3433"/>
        </w:tabs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56"/>
          <w:szCs w:val="56"/>
        </w:rPr>
        <w:t>202</w:t>
      </w:r>
      <w:r>
        <w:rPr>
          <w:rFonts w:hint="eastAsia"/>
          <w:b/>
          <w:sz w:val="56"/>
          <w:szCs w:val="56"/>
          <w:lang w:val="en-US" w:eastAsia="zh-CN"/>
        </w:rPr>
        <w:t>6</w:t>
      </w:r>
      <w:r>
        <w:rPr>
          <w:rFonts w:hint="eastAsia"/>
          <w:b/>
          <w:sz w:val="56"/>
          <w:szCs w:val="56"/>
        </w:rPr>
        <w:t>年橡胶产品运输服务</w:t>
      </w:r>
    </w:p>
    <w:p w14:paraId="5738C46C">
      <w:pPr>
        <w:tabs>
          <w:tab w:val="left" w:pos="3433"/>
        </w:tabs>
        <w:jc w:val="center"/>
        <w:rPr>
          <w:rFonts w:hint="eastAsia"/>
          <w:b/>
          <w:sz w:val="56"/>
          <w:szCs w:val="56"/>
        </w:rPr>
      </w:pPr>
    </w:p>
    <w:p w14:paraId="4DE9D634"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招</w:t>
      </w:r>
    </w:p>
    <w:p w14:paraId="6B9BA669"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标</w:t>
      </w:r>
    </w:p>
    <w:p w14:paraId="5E61941A"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  <w:lang w:eastAsia="zh-CN"/>
        </w:rPr>
        <w:t>方</w:t>
      </w:r>
    </w:p>
    <w:p w14:paraId="175667AA">
      <w:pPr>
        <w:jc w:val="center"/>
        <w:rPr>
          <w:rFonts w:hint="eastAsia"/>
          <w:b/>
          <w:sz w:val="84"/>
          <w:szCs w:val="84"/>
          <w:lang w:eastAsia="zh-CN"/>
        </w:rPr>
      </w:pPr>
      <w:r>
        <w:rPr>
          <w:rFonts w:hint="eastAsia"/>
          <w:b/>
          <w:sz w:val="84"/>
          <w:szCs w:val="84"/>
          <w:lang w:eastAsia="zh-CN"/>
        </w:rPr>
        <w:t>案</w:t>
      </w:r>
    </w:p>
    <w:p w14:paraId="7F9B56C0">
      <w:pPr>
        <w:tabs>
          <w:tab w:val="left" w:pos="3433"/>
        </w:tabs>
        <w:jc w:val="center"/>
        <w:rPr>
          <w:rFonts w:hint="eastAsia"/>
          <w:b/>
          <w:sz w:val="56"/>
          <w:szCs w:val="56"/>
        </w:rPr>
      </w:pPr>
    </w:p>
    <w:p w14:paraId="296F795F">
      <w:pPr>
        <w:tabs>
          <w:tab w:val="left" w:pos="3433"/>
        </w:tabs>
        <w:jc w:val="center"/>
        <w:rPr>
          <w:rFonts w:hint="eastAsia"/>
          <w:b/>
          <w:sz w:val="56"/>
          <w:szCs w:val="56"/>
          <w:lang w:val="en-US" w:eastAsia="zh-CN"/>
        </w:rPr>
      </w:pPr>
    </w:p>
    <w:p w14:paraId="57852EC7">
      <w:pPr>
        <w:tabs>
          <w:tab w:val="left" w:pos="3433"/>
        </w:tabs>
        <w:jc w:val="both"/>
        <w:rPr>
          <w:rFonts w:hint="eastAsia"/>
          <w:lang w:val="en-US" w:eastAsia="zh-CN"/>
        </w:rPr>
      </w:pPr>
    </w:p>
    <w:p w14:paraId="6D8183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云南海胶橡胶产业有限公司（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以下简称“云南海胶”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）将对202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年橡胶产品运输服务组织国内公开招标，计划将评分靠前的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6家单位纳入云南海胶承运商(实际入围数量以评标结果为准)，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在入围期限内招标人不承诺、不保证入围单位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因本项目而获得固定的商业利益，请投标人自行考虑相应风险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欢迎具备本项目资格要求的潜在投标人参加投标。</w:t>
      </w:r>
    </w:p>
    <w:p w14:paraId="67D660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一、招标内容</w:t>
      </w:r>
    </w:p>
    <w:p w14:paraId="64CB13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本次通过公开招标采购方式，选择入围相应数量的运输服务供应商，对应批次货物的实际服务商及运输单价，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进行询价或竞价，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经我司相应流程审批后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确定。</w:t>
      </w:r>
    </w:p>
    <w:p w14:paraId="52703C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运输方式分为汽车运输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、公铁联运</w:t>
      </w:r>
      <w:r>
        <w:rPr>
          <w:rFonts w:hint="eastAsia" w:ascii="仿宋_GB2312" w:hAnsi="仿宋_GB2312" w:eastAsia="仿宋_GB2312" w:cs="仿宋_GB2312"/>
          <w:sz w:val="32"/>
          <w:szCs w:val="32"/>
        </w:rPr>
        <w:t>和海铁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联运等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D1A61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二、服务期限</w:t>
      </w:r>
    </w:p>
    <w:p w14:paraId="6B87C0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自合同签订起一年。</w:t>
      </w:r>
    </w:p>
    <w:p w14:paraId="0D7B649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三、投标单位资格要求</w:t>
      </w:r>
    </w:p>
    <w:tbl>
      <w:tblPr>
        <w:tblStyle w:val="7"/>
        <w:tblW w:w="9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225"/>
        <w:gridCol w:w="1225"/>
        <w:gridCol w:w="5779"/>
      </w:tblGrid>
      <w:tr w14:paraId="59654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0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C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</w:tr>
      <w:tr w14:paraId="38B2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2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1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具有民事责任能力的法人或其他组织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具备有效的营业执照</w:t>
            </w:r>
          </w:p>
        </w:tc>
      </w:tr>
      <w:tr w14:paraId="18D9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F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D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实缴资本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A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证明材料，实缴资本在100万元以下拒绝参与投标</w:t>
            </w:r>
          </w:p>
        </w:tc>
      </w:tr>
      <w:tr w14:paraId="3B5B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0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汽运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交通运输管理部门颁发的《道路运输经营许可证》，且在有效期内。</w:t>
            </w:r>
          </w:p>
        </w:tc>
      </w:tr>
      <w:tr w14:paraId="37D6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7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E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海运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A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具有主管部门颁发的有效的水路运输服务许可证或内河运输资质，如投标人不具备该资质，须与具备该资质的单位签订针对本项目的合作协议或长期合作协议。</w:t>
            </w:r>
          </w:p>
        </w:tc>
      </w:tr>
      <w:tr w14:paraId="20017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7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铁路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A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和铁路局签订的合作协议</w:t>
            </w:r>
          </w:p>
        </w:tc>
      </w:tr>
      <w:tr w14:paraId="1728F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依法纳税记录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提供2024-2025年度纳税证明材料</w:t>
            </w:r>
          </w:p>
        </w:tc>
      </w:tr>
      <w:tr w14:paraId="19E17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A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过往合作案例与服务能力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近2年同行业大型企业运输案例，服务团队配置</w:t>
            </w:r>
          </w:p>
        </w:tc>
      </w:tr>
      <w:tr w14:paraId="6656E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5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财务报表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提供2024-2025年度审计报告（若无审计报告则提供加盖公章的财务报表）</w:t>
            </w:r>
          </w:p>
        </w:tc>
      </w:tr>
      <w:tr w14:paraId="60A3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特殊要求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具备境内和境外（老挝）橡胶运输经验，可做报关业务</w:t>
            </w:r>
          </w:p>
        </w:tc>
      </w:tr>
      <w:tr w14:paraId="787E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保险要求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D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必须购买不低于承运货物售价的商业保险（提供已购保险的证明材料）</w:t>
            </w:r>
          </w:p>
        </w:tc>
      </w:tr>
      <w:tr w14:paraId="30C5A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7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A3FC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信用记录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8FB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1.提供承运商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在中国执行信息公网（http://zxgk.court.gov.cn）未被列入失信被执行人，未被列入“信用中国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”网站政府采购严重违法失信行为记录名单和税收违法黑名单，黑名单企业取消投标资格</w:t>
            </w:r>
          </w:p>
          <w:p w14:paraId="793D40E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未被列入“信用中国（云南）”站（http://yncredit.yn.gov.cn）行政处罚和失信惩戒记录，企业未被列入国家企业信用信息公示系统（http://www.gsxt.gov.cn）经营异常名录和严重违法失信企业名单，黑名单企业取消投标资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3.在经营活动中没有重大违法记录声明书（详见附件1）（弄虚作假一经核实取消投标资格）</w:t>
            </w:r>
          </w:p>
        </w:tc>
      </w:tr>
      <w:tr w14:paraId="37E2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1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次招标</w:t>
            </w:r>
            <w:r>
              <w:rPr>
                <w:rStyle w:val="11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不接受联合体投标</w:t>
            </w:r>
          </w:p>
        </w:tc>
      </w:tr>
    </w:tbl>
    <w:p w14:paraId="32783E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四、报名方式及开标时间地点</w:t>
      </w:r>
    </w:p>
    <w:p w14:paraId="23471A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于2026年6月15日前将投标书及相关材料用特快专递邮寄或直接送达云南海胶。</w:t>
      </w:r>
    </w:p>
    <w:p w14:paraId="056E7C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6" w:leftChars="28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开标时间：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日上午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开标地点：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云南省西双版纳州景洪市泼水广场商业区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</w:p>
    <w:p w14:paraId="55AF37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区二单元四楼（云南海胶会议室）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联系人：章宇 15870031759</w:t>
      </w:r>
    </w:p>
    <w:p w14:paraId="3AA721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五、投标文件构成</w:t>
      </w:r>
    </w:p>
    <w:p w14:paraId="6D540A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复印件</w:t>
      </w:r>
    </w:p>
    <w:p w14:paraId="0518E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法定代表人授权委托书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（委托人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复印件）</w:t>
      </w:r>
    </w:p>
    <w:p w14:paraId="5D4998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企业基础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资质证明及相关文件(看评分表要求）</w:t>
      </w:r>
    </w:p>
    <w:p w14:paraId="535E484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营业执照</w:t>
      </w:r>
    </w:p>
    <w:p w14:paraId="3A1F8D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实缴证明</w:t>
      </w:r>
    </w:p>
    <w:p w14:paraId="420C9DF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运输资质（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评分标准要求）</w:t>
      </w:r>
    </w:p>
    <w:p w14:paraId="3C72F6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社保缴纳人数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</w:p>
    <w:p w14:paraId="35A933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自有、租赁仓库或堆场面积</w:t>
      </w:r>
    </w:p>
    <w:p w14:paraId="70D4F0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管理体系认证</w:t>
      </w:r>
    </w:p>
    <w:p w14:paraId="6BE03B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提供2024-2025年审计报告（若无审计报告则提供加盖公章的财务报表）</w:t>
      </w:r>
    </w:p>
    <w:p w14:paraId="14B255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运输网络覆盖情况（橡胶产品境内及境外的运输经验，需提供账单和发票及可报关证明）</w:t>
      </w:r>
    </w:p>
    <w:p w14:paraId="336F86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过往合作案例与服务能力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评分标准要求）</w:t>
      </w:r>
    </w:p>
    <w:p w14:paraId="13BACD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合规记录</w:t>
      </w:r>
    </w:p>
    <w:p w14:paraId="56C57C2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纳税记录</w:t>
      </w:r>
    </w:p>
    <w:p w14:paraId="4FBCE5A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信用记录</w:t>
      </w:r>
    </w:p>
    <w:p w14:paraId="5A4505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其他项</w:t>
      </w:r>
    </w:p>
    <w:p w14:paraId="732CE01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5" w:leftChars="0" w:hanging="425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2026年下列线路执行全年固定线路报价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  <w:gridCol w:w="2508"/>
        <w:gridCol w:w="1505"/>
        <w:gridCol w:w="1505"/>
      </w:tblGrid>
      <w:tr w14:paraId="66F1A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03" w:type="dxa"/>
            <w:vAlign w:val="center"/>
          </w:tcPr>
          <w:p w14:paraId="21C03AA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起运地</w:t>
            </w:r>
          </w:p>
        </w:tc>
        <w:tc>
          <w:tcPr>
            <w:tcW w:w="2508" w:type="dxa"/>
            <w:vAlign w:val="center"/>
          </w:tcPr>
          <w:p w14:paraId="3F5537D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目的地</w:t>
            </w:r>
          </w:p>
        </w:tc>
        <w:tc>
          <w:tcPr>
            <w:tcW w:w="1505" w:type="dxa"/>
          </w:tcPr>
          <w:p w14:paraId="6A6BC9F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拦标价（元/吨）</w:t>
            </w:r>
          </w:p>
        </w:tc>
        <w:tc>
          <w:tcPr>
            <w:tcW w:w="1505" w:type="dxa"/>
          </w:tcPr>
          <w:p w14:paraId="3C68846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报  价（元/吨）</w:t>
            </w:r>
          </w:p>
        </w:tc>
      </w:tr>
      <w:tr w14:paraId="6AC0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</w:tcPr>
          <w:p w14:paraId="11F63C8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江城嘉禾工厂及周边区域</w:t>
            </w:r>
          </w:p>
        </w:tc>
        <w:tc>
          <w:tcPr>
            <w:tcW w:w="2508" w:type="dxa"/>
          </w:tcPr>
          <w:p w14:paraId="1ED3D15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昆明指定收货点</w:t>
            </w:r>
          </w:p>
        </w:tc>
        <w:tc>
          <w:tcPr>
            <w:tcW w:w="1505" w:type="dxa"/>
            <w:vAlign w:val="center"/>
          </w:tcPr>
          <w:p w14:paraId="7765B79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170</w:t>
            </w:r>
          </w:p>
        </w:tc>
        <w:tc>
          <w:tcPr>
            <w:tcW w:w="1505" w:type="dxa"/>
          </w:tcPr>
          <w:p w14:paraId="61F21A2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60" w:firstLineChars="300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D30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</w:tcPr>
          <w:p w14:paraId="6AF57D0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江城嘉禾工厂及周边区域</w:t>
            </w:r>
          </w:p>
        </w:tc>
        <w:tc>
          <w:tcPr>
            <w:tcW w:w="2508" w:type="dxa"/>
          </w:tcPr>
          <w:p w14:paraId="1FAF9C5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景洪指定收货点</w:t>
            </w:r>
          </w:p>
        </w:tc>
        <w:tc>
          <w:tcPr>
            <w:tcW w:w="1505" w:type="dxa"/>
            <w:vAlign w:val="center"/>
          </w:tcPr>
          <w:p w14:paraId="4CDAEAD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180</w:t>
            </w:r>
          </w:p>
        </w:tc>
        <w:tc>
          <w:tcPr>
            <w:tcW w:w="1505" w:type="dxa"/>
          </w:tcPr>
          <w:p w14:paraId="315EED9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60" w:firstLineChars="300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223BF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C83995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5" w:leftChars="0" w:hanging="425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车辆智能化配置（安装北斗/GPS监控、实时定位覆盖率）</w:t>
      </w:r>
    </w:p>
    <w:p w14:paraId="1E2125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运输保险（签订购买协议）</w:t>
      </w:r>
    </w:p>
    <w:p w14:paraId="65A7861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六、评分标准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（详见附件2）</w:t>
      </w:r>
    </w:p>
    <w:p w14:paraId="3A17BF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、运输要求</w:t>
      </w:r>
    </w:p>
    <w:p w14:paraId="128D14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（一）承运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须确保货物安全送达，运输过程的任何风险及损失，概由承运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自行承担全责。且所承运的货物必须购买货物运输保险。</w:t>
      </w:r>
    </w:p>
    <w:p w14:paraId="7BD1EF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（二）装运载体须干净、无破损，须规范装卸，保证货物外袋不受潮和污染，同时保证袋内同样不能受潮受污染。由于承运运输过程产生的受湿、包装污染、破损以及缺件丢失等，概由承运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全责赔付。</w:t>
      </w:r>
    </w:p>
    <w:p w14:paraId="7956D3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（三）托盘胶运输途中应加垫隔板，保证托盘及外袋不损坏。</w:t>
      </w:r>
    </w:p>
    <w:p w14:paraId="13E999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（四）工厂送货承运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须自行承担（由于工厂原因形成的）排队卸货、及不能当天卸货的费用风险。</w:t>
      </w:r>
    </w:p>
    <w:p w14:paraId="59DF49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（五）承运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自接受发运委托书之日起，须每天提供货物在途情况台账（运输时提供样板）。</w:t>
      </w:r>
    </w:p>
    <w:p w14:paraId="72AA1ED1">
      <w:pPr>
        <w:spacing w:before="156" w:after="156" w:line="240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（六）承运商</w:t>
      </w:r>
      <w:r>
        <w:rPr>
          <w:rFonts w:hint="eastAsia" w:ascii="仿宋_GB2312" w:hAnsi="仿宋_GB2312" w:eastAsia="仿宋_GB2312" w:cs="仿宋_GB2312"/>
          <w:sz w:val="32"/>
          <w:szCs w:val="32"/>
        </w:rPr>
        <w:t>未能按时安排车辆到达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</w:rPr>
        <w:t>指定装货地点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，我司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有权从履约保证金或应向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承运商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支付的运费中扣减违约金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扣减标准：超过规定期限5小时，24小时以内按照800元/次，超过规定期限24小时以上以2000元/日。协议约定期内未能按时安排车辆累计超过三次，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有权终止协议并取消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承运资格，且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</w:rPr>
        <w:t>不承担任何违约责任。</w:t>
      </w:r>
    </w:p>
    <w:p w14:paraId="6D00F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履行期间，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承运商</w:t>
      </w:r>
      <w:r>
        <w:rPr>
          <w:rFonts w:hint="eastAsia" w:ascii="仿宋_GB2312" w:hAnsi="仿宋_GB2312" w:eastAsia="仿宋_GB2312" w:cs="仿宋_GB2312"/>
          <w:sz w:val="32"/>
          <w:szCs w:val="32"/>
        </w:rPr>
        <w:t>不能完成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</w:rPr>
        <w:t>运输委托时，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方有权选择其他承运商进行运输，由此造成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</w:rPr>
        <w:t>运输成本超出约定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，超出部分及由此造成的经济损失均由承运商承担。</w:t>
      </w:r>
    </w:p>
    <w:p w14:paraId="661423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（八）运量是预估量，结算以实际安全送达目的地月度业务量为准，按月进行结算。此外，无论入围单位最终承运多少货物，投标人均不得要求中途退还保证金，且不得改变服务质量。</w:t>
      </w:r>
    </w:p>
    <w:p w14:paraId="42DAD6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、2026年境内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、境外预估运量</w:t>
      </w:r>
    </w:p>
    <w:tbl>
      <w:tblPr>
        <w:tblStyle w:val="7"/>
        <w:tblW w:w="7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85"/>
        <w:gridCol w:w="2212"/>
        <w:gridCol w:w="1820"/>
        <w:gridCol w:w="1068"/>
      </w:tblGrid>
      <w:tr w14:paraId="6FE87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3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bidi="ar"/>
              </w:rPr>
              <w:t>标段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5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bidi="ar"/>
              </w:rPr>
              <w:t>运输起始点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bidi="ar"/>
              </w:rPr>
              <w:t>（各厂地址）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5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bidi="ar"/>
              </w:rPr>
              <w:t>到达目的地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B1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bidi="ar"/>
              </w:rPr>
              <w:t>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bidi="ar"/>
              </w:rPr>
              <w:t>数量（吨）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7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bidi="ar"/>
              </w:rPr>
              <w:t>备注</w:t>
            </w:r>
          </w:p>
        </w:tc>
      </w:tr>
      <w:tr w14:paraId="469DD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0B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境外标段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A6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老挝境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指定装货地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5A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磨憨/景洪/昆明/勐腊等指定卸货地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C9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15000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7E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门到门</w:t>
            </w:r>
          </w:p>
        </w:tc>
      </w:tr>
      <w:tr w14:paraId="604A4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3C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境内标段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C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境内指定装货地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8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青岛/上海/天津等指定卸货地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75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35000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40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门到门</w:t>
            </w:r>
          </w:p>
        </w:tc>
      </w:tr>
    </w:tbl>
    <w:p w14:paraId="5C3E80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注：1.境外运输费全部由境内公司结算，分段做账单及开票，国内段开具9%增值税专用发票，国际段0税。</w:t>
      </w:r>
    </w:p>
    <w:p w14:paraId="16A8747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2.中标单位需向我司缴纳50万元履约保证金。</w:t>
      </w:r>
    </w:p>
    <w:p w14:paraId="42B1E30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40" w:leftChars="257" w:firstLine="0" w:firstLine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、在经营活动中没有重大违法记录声明书</w:t>
      </w:r>
    </w:p>
    <w:p w14:paraId="3319D5C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   2、运输招标评分表</w:t>
      </w:r>
    </w:p>
    <w:p w14:paraId="11EE290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2B58D96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</w:pPr>
      <w:bookmarkStart w:id="0" w:name="_Toc15514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在经营活动中没有重大违法记录声明书</w:t>
      </w:r>
      <w:bookmarkEnd w:id="0"/>
    </w:p>
    <w:p w14:paraId="07F55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</w:p>
    <w:p w14:paraId="513CB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singl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single"/>
          <w:lang w:eastAsia="zh-CN"/>
        </w:rPr>
        <w:t>招标人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single"/>
        </w:rPr>
        <w:t>名称）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：</w:t>
      </w:r>
    </w:p>
    <w:p w14:paraId="65050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我方在此声明，我方参加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（项目名称）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三年内，在经营活动中没有重大违法记录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highlight w:val="none"/>
        </w:rPr>
        <w:t>（重大违法记录是指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highlight w:val="none"/>
        </w:rPr>
        <w:t>因违法经营受到刑事处罚或者责令停产停业、吊销许可证或者执照、较大数额罚款等行政处罚）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301C0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我方保证上述信息的真实和准确，并愿意承担因我方就此弄虚作假所引起的一切法律后果。</w:t>
      </w:r>
    </w:p>
    <w:p w14:paraId="60010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特此声明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16CE9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</w:p>
    <w:p w14:paraId="426BE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</w:p>
    <w:p w14:paraId="031838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</w:p>
    <w:p w14:paraId="4EFA3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竞标单位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公章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）</w:t>
      </w:r>
    </w:p>
    <w:p w14:paraId="2C74A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法定代表人或委托代理人：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（签字或盖章）</w:t>
      </w:r>
    </w:p>
    <w:p w14:paraId="32846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</w:t>
      </w:r>
    </w:p>
    <w:p w14:paraId="0E19382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C488C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E5E5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EA444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8B611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C0CCF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327" w:right="1633" w:bottom="1327" w:left="1633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39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01"/>
        <w:gridCol w:w="1616"/>
        <w:gridCol w:w="4165"/>
        <w:gridCol w:w="1233"/>
        <w:gridCol w:w="5474"/>
      </w:tblGrid>
      <w:tr w14:paraId="5F1B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965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E8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2026年运输招标评分表</w:t>
            </w:r>
          </w:p>
        </w:tc>
      </w:tr>
      <w:tr w14:paraId="0373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7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公司名称：</w:t>
            </w:r>
          </w:p>
        </w:tc>
        <w:tc>
          <w:tcPr>
            <w:tcW w:w="6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8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评估得分：                     </w:t>
            </w:r>
          </w:p>
        </w:tc>
      </w:tr>
      <w:tr w14:paraId="0915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8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2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评审日期：</w:t>
            </w:r>
          </w:p>
        </w:tc>
        <w:tc>
          <w:tcPr>
            <w:tcW w:w="6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7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评审人：</w:t>
            </w:r>
          </w:p>
        </w:tc>
      </w:tr>
      <w:tr w14:paraId="437B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评估项目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评估要素</w:t>
            </w:r>
          </w:p>
        </w:tc>
        <w:tc>
          <w:tcPr>
            <w:tcW w:w="4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CF8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8DA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企业基础资质（38分）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3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1.私营/集体企业，独立法人（5分）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0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</w:t>
            </w:r>
          </w:p>
        </w:tc>
      </w:tr>
      <w:tr w14:paraId="5595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CAB4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1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C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8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2.上市公司/国有独资企业/外资/战略合作伙伴/国际著名物流企业独资或控股（10分）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E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F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E2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7CA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营业年限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(年）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6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1.小于2（0分）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8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4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01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82BA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9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C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3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2.2(含)-5(1分)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B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E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5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7FD4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0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1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6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3.5(含)-8(2分)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9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3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528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CEF1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B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8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2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4.8(含)-10(3分)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8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7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565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326E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3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2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5.10(含)以上(5分)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9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3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E6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71B5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实缴资本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6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1.100(含)-300(1分)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5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实缴证明</w:t>
            </w:r>
          </w:p>
        </w:tc>
      </w:tr>
      <w:tr w14:paraId="6181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7E66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9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5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B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2.300(含)-500(2分)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8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9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53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F82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F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7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0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3.500(含)-1000(含)(3分)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2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6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7E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601F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2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9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E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4.1000以上(5分)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B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1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5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F4E8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运输资质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0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1.国内道路运输经营许可证(1分)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F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3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资质证明：1.汽运：交通运输管理部门颁发的《道路运输经营许可证》，且在有效期内。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2.海运：具有主管部门颁发的有效的水路运输服务许可证或内河运输资质，如投标人不具备该资质，须与具备该资质的单位签订针对本项目的合作协议或长期合作协议。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3.铁路：和铁路局签订的合作协议。</w:t>
            </w:r>
          </w:p>
        </w:tc>
      </w:tr>
      <w:tr w14:paraId="496A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7F22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E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8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C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2.国内道路运输经营许可证/铁路运输资质(3分)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D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6A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1D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9B0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2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9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2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3.国内道路运输经营许可证/铁路/船舶运输资质(6分)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E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4F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F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BD8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社保缴纳人数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D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1、参保人数0人（0分）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E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近3个月参保证明相关材料</w:t>
            </w:r>
          </w:p>
        </w:tc>
      </w:tr>
      <w:tr w14:paraId="4FDC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031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B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0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D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2、参保人数5人以下（2分）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C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9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E2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93D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7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9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A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3、参保人数5-10人（4分）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A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C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62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F27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6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8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9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4、参保人数10人以上（5分）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8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A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4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662B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自有、租赁仓库或堆场面积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8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1.无仓库或堆场（0分）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A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自有仓库需提供土地证、房屋证；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租赁仓库需提供租赁合同</w:t>
            </w:r>
          </w:p>
        </w:tc>
      </w:tr>
      <w:tr w14:paraId="7AD6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09DD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A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1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3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2.无自有，有租赁仓库或堆场（2分）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F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2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7F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BB28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4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B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3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3.自有仓库或堆场（5分）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4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1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2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D852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管理体系认证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B58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1.未通过ISO9001/ISO14001/ISO45001等相关管理体系认证（0分）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B7B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有效认证证书</w:t>
            </w:r>
          </w:p>
        </w:tc>
      </w:tr>
      <w:tr w14:paraId="6116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F79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C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7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2921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2.通过ISO9001/ISO14001/ISO45001等相关管理体系认证（2分）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62D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4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5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526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往年经营数据（10分）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资产负债率(需提供公司盖章的资产负债表)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C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1.90%以上或无法提供资产负债表的(0分)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95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提供2024-2025年审计报告（若无审计报告则提供加盖公章的财务报表）</w:t>
            </w:r>
          </w:p>
        </w:tc>
      </w:tr>
      <w:tr w14:paraId="14BE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FD7F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F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7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8C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2.70%-90%(1分)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7F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E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E8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920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A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9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B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3.50%-70%(3分)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82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6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BB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7E3A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A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1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90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4.50%以下(5分)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5B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6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BF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F296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主营业务收入（需提供公司盖章的利润表)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79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1.50万元以内或无法提供利润报表的(0分)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C2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1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A8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BDF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9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F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6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2.50(含)-300万元(1分)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8A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F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8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8ACC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9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E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D2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3.300(含)-500万元(2分)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E9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6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C6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6A9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9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3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50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4.500(含)-1000万元(3分)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16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B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D6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DF12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2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7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60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5.1000(含)-5000万元(4分)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F8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7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EF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E987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B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5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A1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6.5000（含)万元以上(5分)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38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0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B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9CE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运输网络覆盖情况（4分）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跨境运输及报关能力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8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1.只有境内或境外运输经验(1分)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4D5FF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账单和发票及可报关证明</w:t>
            </w:r>
          </w:p>
        </w:tc>
      </w:tr>
      <w:tr w14:paraId="518B7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9706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1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4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3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2.同时有境内和境外运输经验(2分)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AC5C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9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3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F90D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A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A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5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3.同时有境内和境外运输经验且可做报关业务（4分）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05124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9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54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7E7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过往合作案例与服务能力（17分）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同类项目案例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9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近2年同行业大型企业运输案例5个以上（12分）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8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合同、合作证明、中标文件及发票</w:t>
            </w:r>
          </w:p>
        </w:tc>
      </w:tr>
      <w:tr w14:paraId="1C801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E32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E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7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9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近2年同行业大型企业运输案例1-5个，其中1-2个案例2分，3-4个5分，5个8分（8分）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9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3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07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E57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C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6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D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无案例（0分）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9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6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9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695B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服务团队配置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6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专职调度、客服、安全管理人员配置齐全，且重点区域设有网点/驻场人员(4分）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972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6A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组织架构（对应人数）、网点地址、人员配置表</w:t>
            </w:r>
          </w:p>
        </w:tc>
      </w:tr>
      <w:tr w14:paraId="2992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4B8F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8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7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8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人员配置不全、仅异地对接无驻场服务的酌情扣分（1-2分）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C23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D55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81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52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合规记录（15分）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依法纳税记录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A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1.无（0分）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6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提供2024-2025年度纳税证明</w:t>
            </w:r>
          </w:p>
        </w:tc>
      </w:tr>
      <w:tr w14:paraId="6A7C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C2C1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5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8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6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2.有（5分）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B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0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0B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1848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信用记录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B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1.无法提供或存在不良记录(-100分)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35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企业征信、处罚查询截图</w:t>
            </w:r>
          </w:p>
        </w:tc>
      </w:tr>
      <w:tr w14:paraId="7207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583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7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1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79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2.信用记录完整且查询记录良好(10分)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7A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8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0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CB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其他项（17分）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D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51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固定线路报价(10分）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06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投标单位中最低报价/各投标单位报价*10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03D00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44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现场制作固定运价一览表</w:t>
            </w:r>
          </w:p>
        </w:tc>
      </w:tr>
      <w:tr w14:paraId="1CD4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D5F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车辆智能化配置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3C64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安装北斗/GPS监控、实时定位全部车辆安装（4分）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EFAE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1A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监控后台截图</w:t>
            </w:r>
          </w:p>
        </w:tc>
      </w:tr>
      <w:tr w14:paraId="7D79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01D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B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5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117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安装北斗/GPS监控、实时定位覆盖率90%-99%（2分）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7280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162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5C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8084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A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E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B78D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安装北斗/GPS监控、实时定位低于90%（0分）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414B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0C2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1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39D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2025年中标运输商考核情况</w:t>
            </w:r>
          </w:p>
        </w:tc>
        <w:tc>
          <w:tcPr>
            <w:tcW w:w="4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3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2025年中标运输商评分90分及以上（3分）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C30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依据运输服务商考核汇总表（由各委托发运机构分别评分，最终得分采用加权平均法核算）</w:t>
            </w:r>
          </w:p>
        </w:tc>
      </w:tr>
      <w:tr w14:paraId="04813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D7B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9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E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3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2025年中标运输商评分89分及以下（0分）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F1C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B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6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1C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31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BBD73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color w:val="auto"/>
          <w:highlight w:val="none"/>
          <w:lang w:val="en-US" w:eastAsia="zh-CN"/>
        </w:rPr>
      </w:pPr>
    </w:p>
    <w:sectPr>
      <w:pgSz w:w="16838" w:h="11906" w:orient="landscape"/>
      <w:pgMar w:top="1800" w:right="1327" w:bottom="1800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E0F3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B173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9B173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C04AF"/>
    <w:multiLevelType w:val="singleLevel"/>
    <w:tmpl w:val="AAEC04AF"/>
    <w:lvl w:ilvl="0" w:tentative="0">
      <w:start w:val="1"/>
      <w:numFmt w:val="decimal"/>
      <w:lvlText w:val="%1."/>
      <w:lvlJc w:val="left"/>
      <w:pPr>
        <w:ind w:left="1265" w:hanging="425"/>
      </w:pPr>
      <w:rPr>
        <w:rFonts w:hint="default"/>
      </w:rPr>
    </w:lvl>
  </w:abstractNum>
  <w:abstractNum w:abstractNumId="1">
    <w:nsid w:val="F58A7E15"/>
    <w:multiLevelType w:val="singleLevel"/>
    <w:tmpl w:val="F58A7E1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4A343AA3"/>
    <w:multiLevelType w:val="singleLevel"/>
    <w:tmpl w:val="4A343AA3"/>
    <w:lvl w:ilvl="0" w:tentative="0">
      <w:start w:val="1"/>
      <w:numFmt w:val="decimal"/>
      <w:lvlText w:val="%1."/>
      <w:lvlJc w:val="left"/>
      <w:pPr>
        <w:ind w:left="1265" w:hanging="425"/>
      </w:pPr>
      <w:rPr>
        <w:rFonts w:hint="default"/>
      </w:rPr>
    </w:lvl>
  </w:abstractNum>
  <w:abstractNum w:abstractNumId="3">
    <w:nsid w:val="6C3B9AFA"/>
    <w:multiLevelType w:val="singleLevel"/>
    <w:tmpl w:val="6C3B9AFA"/>
    <w:lvl w:ilvl="0" w:tentative="0">
      <w:start w:val="1"/>
      <w:numFmt w:val="decimal"/>
      <w:lvlText w:val="%1."/>
      <w:lvlJc w:val="left"/>
      <w:pPr>
        <w:ind w:left="126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MjBmN2NlM2ZmMTA4NzBhYTFkZjZlZTkxNzYyNTcifQ=="/>
  </w:docVars>
  <w:rsids>
    <w:rsidRoot w:val="00000000"/>
    <w:rsid w:val="00004695"/>
    <w:rsid w:val="00284A4F"/>
    <w:rsid w:val="003C3B92"/>
    <w:rsid w:val="005F7127"/>
    <w:rsid w:val="008C3CB1"/>
    <w:rsid w:val="008C4773"/>
    <w:rsid w:val="01006CB0"/>
    <w:rsid w:val="01025A37"/>
    <w:rsid w:val="013F7A9A"/>
    <w:rsid w:val="01964C25"/>
    <w:rsid w:val="01995BAA"/>
    <w:rsid w:val="01DC539A"/>
    <w:rsid w:val="024702CC"/>
    <w:rsid w:val="02AB2EAE"/>
    <w:rsid w:val="02F13E7D"/>
    <w:rsid w:val="035F3318"/>
    <w:rsid w:val="03C52CBC"/>
    <w:rsid w:val="040A59AF"/>
    <w:rsid w:val="04A01725"/>
    <w:rsid w:val="04B34B43"/>
    <w:rsid w:val="04BA7D51"/>
    <w:rsid w:val="04FD623C"/>
    <w:rsid w:val="050071C0"/>
    <w:rsid w:val="05EB5EC4"/>
    <w:rsid w:val="06141287"/>
    <w:rsid w:val="069D7EE6"/>
    <w:rsid w:val="06F53DF8"/>
    <w:rsid w:val="072510C4"/>
    <w:rsid w:val="07937179"/>
    <w:rsid w:val="07F46FA0"/>
    <w:rsid w:val="09573962"/>
    <w:rsid w:val="0A080C44"/>
    <w:rsid w:val="0A5B410A"/>
    <w:rsid w:val="0AB86A22"/>
    <w:rsid w:val="0AD100C7"/>
    <w:rsid w:val="0AE465EC"/>
    <w:rsid w:val="0B4E0312"/>
    <w:rsid w:val="0B5010BD"/>
    <w:rsid w:val="0B8528F2"/>
    <w:rsid w:val="0B9D381C"/>
    <w:rsid w:val="0C8A21A0"/>
    <w:rsid w:val="0D06536D"/>
    <w:rsid w:val="0D6F798F"/>
    <w:rsid w:val="0DCA21B0"/>
    <w:rsid w:val="0E4B437F"/>
    <w:rsid w:val="0EF5348D"/>
    <w:rsid w:val="0F581039"/>
    <w:rsid w:val="0FBF5566"/>
    <w:rsid w:val="0FF40EB8"/>
    <w:rsid w:val="10052457"/>
    <w:rsid w:val="108A5F33"/>
    <w:rsid w:val="110A553C"/>
    <w:rsid w:val="11146D91"/>
    <w:rsid w:val="11452DE3"/>
    <w:rsid w:val="11CF6595"/>
    <w:rsid w:val="11E6296C"/>
    <w:rsid w:val="12224D50"/>
    <w:rsid w:val="123526EB"/>
    <w:rsid w:val="125D5E2E"/>
    <w:rsid w:val="12C82F5F"/>
    <w:rsid w:val="12CE4E68"/>
    <w:rsid w:val="12EB6997"/>
    <w:rsid w:val="135F0ED4"/>
    <w:rsid w:val="137C6286"/>
    <w:rsid w:val="13C156F5"/>
    <w:rsid w:val="13FC67C8"/>
    <w:rsid w:val="144A1DD6"/>
    <w:rsid w:val="147C16AC"/>
    <w:rsid w:val="14C72A25"/>
    <w:rsid w:val="14DA74C7"/>
    <w:rsid w:val="16336E56"/>
    <w:rsid w:val="16BD3DD9"/>
    <w:rsid w:val="16E178E4"/>
    <w:rsid w:val="171170E7"/>
    <w:rsid w:val="171A2FD7"/>
    <w:rsid w:val="171F3E7E"/>
    <w:rsid w:val="17EC7D4E"/>
    <w:rsid w:val="17EF0CD3"/>
    <w:rsid w:val="18AB6E88"/>
    <w:rsid w:val="18AC1086"/>
    <w:rsid w:val="19075F1D"/>
    <w:rsid w:val="193E1C7A"/>
    <w:rsid w:val="19613133"/>
    <w:rsid w:val="19835866"/>
    <w:rsid w:val="19C127B5"/>
    <w:rsid w:val="19EF2027"/>
    <w:rsid w:val="1A130F8F"/>
    <w:rsid w:val="1A362FFE"/>
    <w:rsid w:val="1A3B5015"/>
    <w:rsid w:val="1A3B78AA"/>
    <w:rsid w:val="1A49562F"/>
    <w:rsid w:val="1A710D72"/>
    <w:rsid w:val="1A885114"/>
    <w:rsid w:val="1B080EE5"/>
    <w:rsid w:val="1B0F4F52"/>
    <w:rsid w:val="1B101B75"/>
    <w:rsid w:val="1B4A0A55"/>
    <w:rsid w:val="1B564A4C"/>
    <w:rsid w:val="1BB75806"/>
    <w:rsid w:val="1BDE7C44"/>
    <w:rsid w:val="1BE724DA"/>
    <w:rsid w:val="1BF4566B"/>
    <w:rsid w:val="1C220738"/>
    <w:rsid w:val="1C3144D5"/>
    <w:rsid w:val="1C4A4D75"/>
    <w:rsid w:val="1C5046FF"/>
    <w:rsid w:val="1CF5041B"/>
    <w:rsid w:val="1D0F3839"/>
    <w:rsid w:val="1D22285A"/>
    <w:rsid w:val="1D3849FD"/>
    <w:rsid w:val="1D652049"/>
    <w:rsid w:val="1DB6406F"/>
    <w:rsid w:val="1E4516B7"/>
    <w:rsid w:val="1E5820B9"/>
    <w:rsid w:val="1F0D587D"/>
    <w:rsid w:val="1F325ABD"/>
    <w:rsid w:val="1F8F5A43"/>
    <w:rsid w:val="1F936DDB"/>
    <w:rsid w:val="1FC16504"/>
    <w:rsid w:val="1FDB71CF"/>
    <w:rsid w:val="1FEB2CED"/>
    <w:rsid w:val="20371AE7"/>
    <w:rsid w:val="206B6ABE"/>
    <w:rsid w:val="211A20DA"/>
    <w:rsid w:val="2142329E"/>
    <w:rsid w:val="22181FFD"/>
    <w:rsid w:val="221E7789"/>
    <w:rsid w:val="226A69DF"/>
    <w:rsid w:val="229A12D1"/>
    <w:rsid w:val="233C68DC"/>
    <w:rsid w:val="25001A40"/>
    <w:rsid w:val="253E2BAA"/>
    <w:rsid w:val="25780405"/>
    <w:rsid w:val="25A2628F"/>
    <w:rsid w:val="25E41817"/>
    <w:rsid w:val="261D2218"/>
    <w:rsid w:val="262B372C"/>
    <w:rsid w:val="266C581A"/>
    <w:rsid w:val="26CA7492"/>
    <w:rsid w:val="26E57D8D"/>
    <w:rsid w:val="276A4438"/>
    <w:rsid w:val="28673056"/>
    <w:rsid w:val="28A14135"/>
    <w:rsid w:val="28E229A0"/>
    <w:rsid w:val="29765412"/>
    <w:rsid w:val="29B07B75"/>
    <w:rsid w:val="2A21112E"/>
    <w:rsid w:val="2A7D01C3"/>
    <w:rsid w:val="2BB1567F"/>
    <w:rsid w:val="2BC01AD4"/>
    <w:rsid w:val="2BCF20EE"/>
    <w:rsid w:val="2BD01D6E"/>
    <w:rsid w:val="2DA30D70"/>
    <w:rsid w:val="2DB35787"/>
    <w:rsid w:val="2E0A6195"/>
    <w:rsid w:val="2E0C4F1C"/>
    <w:rsid w:val="2E576295"/>
    <w:rsid w:val="2ECE71D8"/>
    <w:rsid w:val="2F0D5DDC"/>
    <w:rsid w:val="2F4910A0"/>
    <w:rsid w:val="2F5064AC"/>
    <w:rsid w:val="2F735768"/>
    <w:rsid w:val="2FD71C09"/>
    <w:rsid w:val="2FDB378B"/>
    <w:rsid w:val="30121DEE"/>
    <w:rsid w:val="30372F27"/>
    <w:rsid w:val="3060796F"/>
    <w:rsid w:val="311E7AF8"/>
    <w:rsid w:val="316F64A7"/>
    <w:rsid w:val="31AC410D"/>
    <w:rsid w:val="31D729D3"/>
    <w:rsid w:val="31E5776A"/>
    <w:rsid w:val="31F20E2C"/>
    <w:rsid w:val="32103E32"/>
    <w:rsid w:val="322317CE"/>
    <w:rsid w:val="32904380"/>
    <w:rsid w:val="32B92FC6"/>
    <w:rsid w:val="32F440A4"/>
    <w:rsid w:val="33051DC0"/>
    <w:rsid w:val="33A46447"/>
    <w:rsid w:val="33DA6921"/>
    <w:rsid w:val="341C738A"/>
    <w:rsid w:val="34C51DA1"/>
    <w:rsid w:val="34FB227B"/>
    <w:rsid w:val="35EB1B84"/>
    <w:rsid w:val="360D33BD"/>
    <w:rsid w:val="365D4441"/>
    <w:rsid w:val="36692452"/>
    <w:rsid w:val="36B315CD"/>
    <w:rsid w:val="36C066E4"/>
    <w:rsid w:val="36D80507"/>
    <w:rsid w:val="36F13630"/>
    <w:rsid w:val="372C3815"/>
    <w:rsid w:val="372E7C5C"/>
    <w:rsid w:val="3751494E"/>
    <w:rsid w:val="37C329C2"/>
    <w:rsid w:val="380421F3"/>
    <w:rsid w:val="382C33B7"/>
    <w:rsid w:val="38804D57"/>
    <w:rsid w:val="38E42B66"/>
    <w:rsid w:val="38F34AC9"/>
    <w:rsid w:val="38FA4D0A"/>
    <w:rsid w:val="3949030C"/>
    <w:rsid w:val="39985E8D"/>
    <w:rsid w:val="399C2315"/>
    <w:rsid w:val="39A86127"/>
    <w:rsid w:val="39CA1B5F"/>
    <w:rsid w:val="39E06281"/>
    <w:rsid w:val="3A4631BF"/>
    <w:rsid w:val="3A9E1B37"/>
    <w:rsid w:val="3ADB521F"/>
    <w:rsid w:val="3AED3E24"/>
    <w:rsid w:val="3AFF4EAF"/>
    <w:rsid w:val="3B2735CE"/>
    <w:rsid w:val="3B8C75C1"/>
    <w:rsid w:val="3C3F6C90"/>
    <w:rsid w:val="3CAA4196"/>
    <w:rsid w:val="3CB44AA5"/>
    <w:rsid w:val="3D8C258A"/>
    <w:rsid w:val="3D900F90"/>
    <w:rsid w:val="3DD3167A"/>
    <w:rsid w:val="3E8E531E"/>
    <w:rsid w:val="3ECB1C12"/>
    <w:rsid w:val="3EE77B9E"/>
    <w:rsid w:val="3F0C10F2"/>
    <w:rsid w:val="3F9006D6"/>
    <w:rsid w:val="3FEB14A1"/>
    <w:rsid w:val="408F27F7"/>
    <w:rsid w:val="40DE086C"/>
    <w:rsid w:val="41B75ADD"/>
    <w:rsid w:val="41EC3DB8"/>
    <w:rsid w:val="420A3368"/>
    <w:rsid w:val="421120CB"/>
    <w:rsid w:val="429A1953"/>
    <w:rsid w:val="429E0F08"/>
    <w:rsid w:val="42EA4BD5"/>
    <w:rsid w:val="42FF12F7"/>
    <w:rsid w:val="43A60B8B"/>
    <w:rsid w:val="43F23209"/>
    <w:rsid w:val="441433BD"/>
    <w:rsid w:val="44457410"/>
    <w:rsid w:val="46132D66"/>
    <w:rsid w:val="462F49B1"/>
    <w:rsid w:val="46A71178"/>
    <w:rsid w:val="46B856BC"/>
    <w:rsid w:val="474F593B"/>
    <w:rsid w:val="48F90270"/>
    <w:rsid w:val="49244D8F"/>
    <w:rsid w:val="493801AD"/>
    <w:rsid w:val="494E2350"/>
    <w:rsid w:val="49896CB2"/>
    <w:rsid w:val="49CA7BE0"/>
    <w:rsid w:val="4ABE4B31"/>
    <w:rsid w:val="4B942400"/>
    <w:rsid w:val="4BC230D9"/>
    <w:rsid w:val="4D226519"/>
    <w:rsid w:val="4D3104A7"/>
    <w:rsid w:val="4D505D63"/>
    <w:rsid w:val="4D544769"/>
    <w:rsid w:val="4DF0689A"/>
    <w:rsid w:val="4E1E2F39"/>
    <w:rsid w:val="4E287FC5"/>
    <w:rsid w:val="4E4E3A88"/>
    <w:rsid w:val="4E7116BE"/>
    <w:rsid w:val="4EE0160D"/>
    <w:rsid w:val="4EE80403"/>
    <w:rsid w:val="4F213A60"/>
    <w:rsid w:val="4F4B26A6"/>
    <w:rsid w:val="4FE52639"/>
    <w:rsid w:val="4FFA109F"/>
    <w:rsid w:val="50151D6F"/>
    <w:rsid w:val="50414974"/>
    <w:rsid w:val="50473843"/>
    <w:rsid w:val="50577CF3"/>
    <w:rsid w:val="50B463F5"/>
    <w:rsid w:val="50E955CA"/>
    <w:rsid w:val="51E25DA3"/>
    <w:rsid w:val="51FF0996"/>
    <w:rsid w:val="5219373E"/>
    <w:rsid w:val="525C54AC"/>
    <w:rsid w:val="52785177"/>
    <w:rsid w:val="530449C0"/>
    <w:rsid w:val="530968C9"/>
    <w:rsid w:val="532C2301"/>
    <w:rsid w:val="534244A5"/>
    <w:rsid w:val="53840791"/>
    <w:rsid w:val="53963F2F"/>
    <w:rsid w:val="53E96710"/>
    <w:rsid w:val="5443314E"/>
    <w:rsid w:val="549A28A4"/>
    <w:rsid w:val="54B5164D"/>
    <w:rsid w:val="54D33936"/>
    <w:rsid w:val="54DE7749"/>
    <w:rsid w:val="56501E4C"/>
    <w:rsid w:val="565F21C4"/>
    <w:rsid w:val="56633FB6"/>
    <w:rsid w:val="56885586"/>
    <w:rsid w:val="56C00F63"/>
    <w:rsid w:val="572F3796"/>
    <w:rsid w:val="57562AB6"/>
    <w:rsid w:val="587E21BE"/>
    <w:rsid w:val="58982D68"/>
    <w:rsid w:val="5910752F"/>
    <w:rsid w:val="59C65171"/>
    <w:rsid w:val="59C67F57"/>
    <w:rsid w:val="5A5E13CF"/>
    <w:rsid w:val="5A704B6C"/>
    <w:rsid w:val="5A812888"/>
    <w:rsid w:val="5AAC6F50"/>
    <w:rsid w:val="5AF73385"/>
    <w:rsid w:val="5B013F5E"/>
    <w:rsid w:val="5B117F79"/>
    <w:rsid w:val="5B9D1C7F"/>
    <w:rsid w:val="5BA830B6"/>
    <w:rsid w:val="5C8C6FF0"/>
    <w:rsid w:val="5CA33FBF"/>
    <w:rsid w:val="5CB318A3"/>
    <w:rsid w:val="5CBF56B6"/>
    <w:rsid w:val="5D7F5AF4"/>
    <w:rsid w:val="5D870982"/>
    <w:rsid w:val="5DAC403A"/>
    <w:rsid w:val="5E0E7F0A"/>
    <w:rsid w:val="5E9934D3"/>
    <w:rsid w:val="5EDF69B5"/>
    <w:rsid w:val="5F317D54"/>
    <w:rsid w:val="5F737229"/>
    <w:rsid w:val="5F7A57AC"/>
    <w:rsid w:val="5F980362"/>
    <w:rsid w:val="60733548"/>
    <w:rsid w:val="607E218F"/>
    <w:rsid w:val="60AA0313"/>
    <w:rsid w:val="6171346B"/>
    <w:rsid w:val="61724770"/>
    <w:rsid w:val="62184EFE"/>
    <w:rsid w:val="62716891"/>
    <w:rsid w:val="62751A14"/>
    <w:rsid w:val="62A9226E"/>
    <w:rsid w:val="62C30BBE"/>
    <w:rsid w:val="63030E07"/>
    <w:rsid w:val="631321A0"/>
    <w:rsid w:val="63AE6299"/>
    <w:rsid w:val="63C1697C"/>
    <w:rsid w:val="63D374CE"/>
    <w:rsid w:val="63D464D8"/>
    <w:rsid w:val="645B63B1"/>
    <w:rsid w:val="648A1B6C"/>
    <w:rsid w:val="64D11873"/>
    <w:rsid w:val="650E563B"/>
    <w:rsid w:val="66495BDD"/>
    <w:rsid w:val="66853278"/>
    <w:rsid w:val="66C06B20"/>
    <w:rsid w:val="66D1263E"/>
    <w:rsid w:val="67433876"/>
    <w:rsid w:val="67AD0D27"/>
    <w:rsid w:val="67AD40C8"/>
    <w:rsid w:val="67B1772D"/>
    <w:rsid w:val="680B10C1"/>
    <w:rsid w:val="68370C8B"/>
    <w:rsid w:val="684C1B2A"/>
    <w:rsid w:val="687A03D1"/>
    <w:rsid w:val="687E6601"/>
    <w:rsid w:val="691E5706"/>
    <w:rsid w:val="69475245"/>
    <w:rsid w:val="694B1A4D"/>
    <w:rsid w:val="695F06ED"/>
    <w:rsid w:val="699E3A55"/>
    <w:rsid w:val="6A330C30"/>
    <w:rsid w:val="6A67569D"/>
    <w:rsid w:val="6A6F632C"/>
    <w:rsid w:val="6A9A4BF2"/>
    <w:rsid w:val="6AD53752"/>
    <w:rsid w:val="6B0420A3"/>
    <w:rsid w:val="6B3724F2"/>
    <w:rsid w:val="6B5F2192"/>
    <w:rsid w:val="6B6433C1"/>
    <w:rsid w:val="6B6E3B14"/>
    <w:rsid w:val="6BC35959"/>
    <w:rsid w:val="6BC4236D"/>
    <w:rsid w:val="6C205CF3"/>
    <w:rsid w:val="6C6D256F"/>
    <w:rsid w:val="6C6E7FF0"/>
    <w:rsid w:val="6C770900"/>
    <w:rsid w:val="6D1B461D"/>
    <w:rsid w:val="6D760823"/>
    <w:rsid w:val="6DAA1F76"/>
    <w:rsid w:val="6DAB79F8"/>
    <w:rsid w:val="6DCF21B6"/>
    <w:rsid w:val="6EFF612B"/>
    <w:rsid w:val="6F374A46"/>
    <w:rsid w:val="6F383D07"/>
    <w:rsid w:val="70342CA5"/>
    <w:rsid w:val="708F42B8"/>
    <w:rsid w:val="70C62525"/>
    <w:rsid w:val="70D04D21"/>
    <w:rsid w:val="71CE6406"/>
    <w:rsid w:val="722A535E"/>
    <w:rsid w:val="725B22AA"/>
    <w:rsid w:val="72C22F53"/>
    <w:rsid w:val="72D466F0"/>
    <w:rsid w:val="73C93B06"/>
    <w:rsid w:val="73D8518D"/>
    <w:rsid w:val="74337932"/>
    <w:rsid w:val="746B7A8B"/>
    <w:rsid w:val="74B41184"/>
    <w:rsid w:val="74CC682B"/>
    <w:rsid w:val="75602922"/>
    <w:rsid w:val="7566482B"/>
    <w:rsid w:val="758D4034"/>
    <w:rsid w:val="75A2206C"/>
    <w:rsid w:val="75C556E6"/>
    <w:rsid w:val="765972B7"/>
    <w:rsid w:val="76C8536C"/>
    <w:rsid w:val="76CA40F3"/>
    <w:rsid w:val="76CC3D72"/>
    <w:rsid w:val="772F6015"/>
    <w:rsid w:val="777F7099"/>
    <w:rsid w:val="77E943EA"/>
    <w:rsid w:val="78466A49"/>
    <w:rsid w:val="787768D5"/>
    <w:rsid w:val="78823444"/>
    <w:rsid w:val="78975968"/>
    <w:rsid w:val="796C0E43"/>
    <w:rsid w:val="79795F5A"/>
    <w:rsid w:val="798B0435"/>
    <w:rsid w:val="799C4845"/>
    <w:rsid w:val="7A230972"/>
    <w:rsid w:val="7A2618F6"/>
    <w:rsid w:val="7AF3156E"/>
    <w:rsid w:val="7AF763CB"/>
    <w:rsid w:val="7B14377D"/>
    <w:rsid w:val="7B4464CB"/>
    <w:rsid w:val="7B5C0DF0"/>
    <w:rsid w:val="7B646D7F"/>
    <w:rsid w:val="7B9207C8"/>
    <w:rsid w:val="7BB65505"/>
    <w:rsid w:val="7C086208"/>
    <w:rsid w:val="7C0B35E0"/>
    <w:rsid w:val="7C2535BA"/>
    <w:rsid w:val="7CD70E5F"/>
    <w:rsid w:val="7D726ADF"/>
    <w:rsid w:val="7D8C3E06"/>
    <w:rsid w:val="7D9C40A0"/>
    <w:rsid w:val="7DD035F6"/>
    <w:rsid w:val="7E5228CA"/>
    <w:rsid w:val="7EC9380E"/>
    <w:rsid w:val="7F0F3F82"/>
    <w:rsid w:val="7FD065BE"/>
    <w:rsid w:val="7FF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tabs>
        <w:tab w:val="left" w:pos="-1698"/>
      </w:tabs>
      <w:spacing w:before="50" w:beforeLines="0" w:line="400" w:lineRule="exact"/>
    </w:pPr>
    <w:rPr>
      <w:sz w:val="24"/>
    </w:rPr>
  </w:style>
  <w:style w:type="paragraph" w:styleId="4">
    <w:name w:val="Plain Text"/>
    <w:basedOn w:val="1"/>
    <w:next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7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3605</Words>
  <Characters>4073</Characters>
  <Lines>0</Lines>
  <Paragraphs>0</Paragraphs>
  <TotalTime>5</TotalTime>
  <ScaleCrop>false</ScaleCrop>
  <LinksUpToDate>false</LinksUpToDate>
  <CharactersWithSpaces>4151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2022-11-23T07:06:00Z</dcterms:created>
  <dc:creator>Administrator</dc:creator>
  <cp:lastModifiedBy>兮言</cp:lastModifiedBy>
  <cp:lastPrinted>2026-05-31T11:45:00Z</cp:lastPrinted>
  <dcterms:modified xsi:type="dcterms:W3CDTF">2026-06-04T01:31:04Z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F5B8D2B5F97249E9A09843E7B87D57F4_13</vt:lpwstr>
  </property>
  <property fmtid="{D5CDD505-2E9C-101B-9397-08002B2CF9AE}" pid="4" name="KSOTemplateDocerSaveRecord">
    <vt:lpwstr>eyJoZGlkIjoiMWY5OGJlNWFhZGRkMGQ4NWU1ZjVhM2U3MGYyN2YzZDEiLCJ1c2VySWQiOiI5ODIyNzIxODcifQ==</vt:lpwstr>
  </property>
</Properties>
</file>