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C5CCD">
      <w:pPr>
        <w:tabs>
          <w:tab w:val="left" w:pos="3433"/>
        </w:tabs>
        <w:jc w:val="center"/>
        <w:rPr>
          <w:rFonts w:hint="eastAsia" w:eastAsia="宋体"/>
          <w:b/>
          <w:sz w:val="56"/>
          <w:szCs w:val="56"/>
          <w:lang w:eastAsia="zh-CN"/>
        </w:rPr>
      </w:pPr>
    </w:p>
    <w:p w14:paraId="7E7F52CD">
      <w:pPr>
        <w:tabs>
          <w:tab w:val="left" w:pos="3433"/>
        </w:tabs>
        <w:jc w:val="center"/>
        <w:rPr>
          <w:rFonts w:hint="eastAsia"/>
          <w:b/>
          <w:sz w:val="56"/>
          <w:szCs w:val="56"/>
        </w:rPr>
      </w:pPr>
      <w:r>
        <w:rPr>
          <w:rFonts w:hint="eastAsia" w:eastAsia="宋体"/>
          <w:b/>
          <w:sz w:val="56"/>
          <w:szCs w:val="56"/>
          <w:lang w:eastAsia="zh-CN"/>
        </w:rPr>
        <w:drawing>
          <wp:inline distT="0" distB="0" distL="114300" distR="114300">
            <wp:extent cx="2312035" cy="1555115"/>
            <wp:effectExtent l="0" t="0" r="0" b="0"/>
            <wp:docPr id="3" name="图片 3" descr="6d2a33447a9681acd98b57714985b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d2a33447a9681acd98b57714985b4f"/>
                    <pic:cNvPicPr>
                      <a:picLocks noChangeAspect="1"/>
                    </pic:cNvPicPr>
                  </pic:nvPicPr>
                  <pic:blipFill>
                    <a:blip r:embed="rId5"/>
                    <a:srcRect l="6549" t="10436" r="6675" b="13362"/>
                    <a:stretch>
                      <a:fillRect/>
                    </a:stretch>
                  </pic:blipFill>
                  <pic:spPr>
                    <a:xfrm>
                      <a:off x="0" y="0"/>
                      <a:ext cx="2312035" cy="1555115"/>
                    </a:xfrm>
                    <a:prstGeom prst="rect">
                      <a:avLst/>
                    </a:prstGeom>
                  </pic:spPr>
                </pic:pic>
              </a:graphicData>
            </a:graphic>
          </wp:inline>
        </w:drawing>
      </w:r>
    </w:p>
    <w:p w14:paraId="6B430658">
      <w:pPr>
        <w:tabs>
          <w:tab w:val="left" w:pos="3433"/>
        </w:tabs>
        <w:jc w:val="both"/>
        <w:rPr>
          <w:rFonts w:hint="eastAsia"/>
          <w:b/>
          <w:sz w:val="56"/>
          <w:szCs w:val="56"/>
        </w:rPr>
      </w:pPr>
    </w:p>
    <w:p w14:paraId="30A79661">
      <w:pPr>
        <w:tabs>
          <w:tab w:val="left" w:pos="3433"/>
        </w:tabs>
        <w:jc w:val="center"/>
        <w:rPr>
          <w:rFonts w:hint="eastAsia"/>
          <w:b/>
          <w:sz w:val="56"/>
          <w:szCs w:val="56"/>
        </w:rPr>
      </w:pPr>
      <w:r>
        <w:rPr>
          <w:rFonts w:hint="eastAsia"/>
          <w:b/>
          <w:sz w:val="56"/>
          <w:szCs w:val="56"/>
        </w:rPr>
        <w:t>云南</w:t>
      </w:r>
      <w:r>
        <w:rPr>
          <w:rFonts w:hint="eastAsia"/>
          <w:b/>
          <w:sz w:val="56"/>
          <w:szCs w:val="56"/>
          <w:lang w:eastAsia="zh-CN"/>
        </w:rPr>
        <w:t>海胶橡胶产业</w:t>
      </w:r>
      <w:r>
        <w:rPr>
          <w:rFonts w:hint="eastAsia"/>
          <w:b/>
          <w:sz w:val="56"/>
          <w:szCs w:val="56"/>
        </w:rPr>
        <w:t>有限公司</w:t>
      </w:r>
    </w:p>
    <w:p w14:paraId="03BFCDDE">
      <w:pPr>
        <w:tabs>
          <w:tab w:val="left" w:pos="3433"/>
        </w:tabs>
        <w:jc w:val="center"/>
        <w:rPr>
          <w:rFonts w:hint="eastAsia"/>
          <w:b/>
          <w:sz w:val="84"/>
          <w:szCs w:val="84"/>
        </w:rPr>
      </w:pPr>
      <w:r>
        <w:rPr>
          <w:rFonts w:hint="eastAsia"/>
          <w:b/>
          <w:sz w:val="56"/>
          <w:szCs w:val="56"/>
        </w:rPr>
        <w:t>202</w:t>
      </w:r>
      <w:r>
        <w:rPr>
          <w:rFonts w:hint="eastAsia"/>
          <w:b/>
          <w:sz w:val="56"/>
          <w:szCs w:val="56"/>
          <w:lang w:val="en-US" w:eastAsia="zh-CN"/>
        </w:rPr>
        <w:t>5</w:t>
      </w:r>
      <w:r>
        <w:rPr>
          <w:rFonts w:hint="eastAsia"/>
          <w:b/>
          <w:sz w:val="56"/>
          <w:szCs w:val="56"/>
        </w:rPr>
        <w:t>年橡胶产品运输服务</w:t>
      </w:r>
    </w:p>
    <w:p w14:paraId="5738C46C">
      <w:pPr>
        <w:tabs>
          <w:tab w:val="left" w:pos="3433"/>
        </w:tabs>
        <w:jc w:val="center"/>
        <w:rPr>
          <w:rFonts w:hint="eastAsia"/>
          <w:b/>
          <w:sz w:val="56"/>
          <w:szCs w:val="56"/>
        </w:rPr>
      </w:pPr>
    </w:p>
    <w:p w14:paraId="4DE9D634">
      <w:pPr>
        <w:jc w:val="center"/>
        <w:rPr>
          <w:rFonts w:hint="eastAsia"/>
          <w:b/>
          <w:sz w:val="84"/>
          <w:szCs w:val="84"/>
        </w:rPr>
      </w:pPr>
      <w:r>
        <w:rPr>
          <w:rFonts w:hint="eastAsia"/>
          <w:b/>
          <w:sz w:val="84"/>
          <w:szCs w:val="84"/>
        </w:rPr>
        <w:t>招</w:t>
      </w:r>
    </w:p>
    <w:p w14:paraId="6B9BA669">
      <w:pPr>
        <w:jc w:val="center"/>
        <w:rPr>
          <w:rFonts w:hint="eastAsia"/>
          <w:b/>
          <w:sz w:val="84"/>
          <w:szCs w:val="84"/>
        </w:rPr>
      </w:pPr>
      <w:r>
        <w:rPr>
          <w:rFonts w:hint="eastAsia"/>
          <w:b/>
          <w:sz w:val="84"/>
          <w:szCs w:val="84"/>
        </w:rPr>
        <w:t>标</w:t>
      </w:r>
    </w:p>
    <w:p w14:paraId="5E61941A">
      <w:pPr>
        <w:jc w:val="center"/>
        <w:rPr>
          <w:rFonts w:hint="eastAsia"/>
          <w:b/>
          <w:sz w:val="84"/>
          <w:szCs w:val="84"/>
        </w:rPr>
      </w:pPr>
      <w:r>
        <w:rPr>
          <w:rFonts w:hint="eastAsia"/>
          <w:b/>
          <w:sz w:val="84"/>
          <w:szCs w:val="84"/>
          <w:lang w:eastAsia="zh-CN"/>
        </w:rPr>
        <w:t>方</w:t>
      </w:r>
    </w:p>
    <w:p w14:paraId="175667AA">
      <w:pPr>
        <w:jc w:val="center"/>
        <w:rPr>
          <w:rFonts w:hint="eastAsia"/>
          <w:b/>
          <w:sz w:val="84"/>
          <w:szCs w:val="84"/>
          <w:lang w:eastAsia="zh-CN"/>
        </w:rPr>
      </w:pPr>
      <w:r>
        <w:rPr>
          <w:rFonts w:hint="eastAsia"/>
          <w:b/>
          <w:sz w:val="84"/>
          <w:szCs w:val="84"/>
          <w:lang w:eastAsia="zh-CN"/>
        </w:rPr>
        <w:t>案</w:t>
      </w:r>
    </w:p>
    <w:p w14:paraId="7F9B56C0">
      <w:pPr>
        <w:tabs>
          <w:tab w:val="left" w:pos="3433"/>
        </w:tabs>
        <w:jc w:val="center"/>
        <w:rPr>
          <w:rFonts w:hint="eastAsia"/>
          <w:b/>
          <w:sz w:val="56"/>
          <w:szCs w:val="56"/>
        </w:rPr>
      </w:pPr>
    </w:p>
    <w:p w14:paraId="296F795F">
      <w:pPr>
        <w:tabs>
          <w:tab w:val="left" w:pos="3433"/>
        </w:tabs>
        <w:jc w:val="center"/>
        <w:rPr>
          <w:rFonts w:hint="eastAsia"/>
          <w:b/>
          <w:sz w:val="56"/>
          <w:szCs w:val="56"/>
          <w:lang w:val="en-US" w:eastAsia="zh-CN"/>
        </w:rPr>
      </w:pPr>
    </w:p>
    <w:p w14:paraId="57852EC7">
      <w:pPr>
        <w:tabs>
          <w:tab w:val="left" w:pos="3433"/>
        </w:tabs>
        <w:jc w:val="both"/>
        <w:rPr>
          <w:rFonts w:hint="eastAsia"/>
          <w:lang w:val="en-US" w:eastAsia="zh-CN"/>
        </w:rPr>
      </w:pPr>
    </w:p>
    <w:p w14:paraId="35790E4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云南</w:t>
      </w:r>
      <w:r>
        <w:rPr>
          <w:rFonts w:hint="eastAsia" w:ascii="仿宋_GB2312" w:hAnsi="仿宋_GB2312" w:eastAsia="仿宋_GB2312" w:cs="仿宋_GB2312"/>
          <w:sz w:val="32"/>
          <w:szCs w:val="32"/>
          <w:lang w:eastAsia="zh-CN"/>
        </w:rPr>
        <w:t>海胶橡胶产业</w:t>
      </w:r>
      <w:r>
        <w:rPr>
          <w:rFonts w:hint="eastAsia" w:ascii="仿宋_GB2312" w:hAnsi="仿宋_GB2312" w:eastAsia="仿宋_GB2312" w:cs="仿宋_GB2312"/>
          <w:sz w:val="32"/>
          <w:szCs w:val="32"/>
        </w:rPr>
        <w:t>有限公</w:t>
      </w:r>
      <w:r>
        <w:rPr>
          <w:rFonts w:hint="eastAsia" w:ascii="仿宋_GB2312" w:hAnsi="仿宋_GB2312" w:eastAsia="仿宋_GB2312" w:cs="仿宋_GB2312"/>
          <w:b w:val="0"/>
          <w:bCs w:val="0"/>
          <w:sz w:val="32"/>
          <w:szCs w:val="32"/>
        </w:rPr>
        <w:t>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以下简称“云南海胶”</w:t>
      </w:r>
      <w:r>
        <w:rPr>
          <w:rFonts w:hint="eastAsia" w:ascii="仿宋_GB2312" w:hAnsi="仿宋_GB2312" w:eastAsia="仿宋_GB2312" w:cs="仿宋_GB2312"/>
          <w:b w:val="0"/>
          <w:bCs w:val="0"/>
          <w:sz w:val="32"/>
          <w:szCs w:val="32"/>
          <w:lang w:eastAsia="zh-CN"/>
        </w:rPr>
        <w:t>）将对</w:t>
      </w:r>
      <w:r>
        <w:rPr>
          <w:rFonts w:hint="eastAsia" w:ascii="仿宋_GB2312" w:hAnsi="仿宋_GB2312" w:eastAsia="仿宋_GB2312" w:cs="仿宋_GB2312"/>
          <w:b w:val="0"/>
          <w:bCs w:val="0"/>
          <w:sz w:val="32"/>
          <w:szCs w:val="32"/>
          <w:u w:val="none"/>
        </w:rPr>
        <w:t>202</w:t>
      </w:r>
      <w:r>
        <w:rPr>
          <w:rFonts w:hint="eastAsia" w:ascii="仿宋_GB2312" w:hAnsi="仿宋_GB2312" w:eastAsia="仿宋_GB2312" w:cs="仿宋_GB2312"/>
          <w:b w:val="0"/>
          <w:bCs w:val="0"/>
          <w:sz w:val="32"/>
          <w:szCs w:val="32"/>
          <w:u w:val="none"/>
          <w:lang w:val="en-US" w:eastAsia="zh-CN"/>
        </w:rPr>
        <w:t>5</w:t>
      </w:r>
      <w:r>
        <w:rPr>
          <w:rFonts w:hint="eastAsia" w:ascii="仿宋_GB2312" w:hAnsi="仿宋_GB2312" w:eastAsia="仿宋_GB2312" w:cs="仿宋_GB2312"/>
          <w:b w:val="0"/>
          <w:bCs w:val="0"/>
          <w:sz w:val="32"/>
          <w:szCs w:val="32"/>
          <w:u w:val="none"/>
        </w:rPr>
        <w:t>年橡胶产品运输服务</w:t>
      </w:r>
      <w:r>
        <w:rPr>
          <w:rFonts w:hint="eastAsia" w:ascii="仿宋_GB2312" w:hAnsi="仿宋_GB2312" w:eastAsia="仿宋_GB2312" w:cs="仿宋_GB2312"/>
          <w:b w:val="0"/>
          <w:bCs w:val="0"/>
          <w:sz w:val="32"/>
          <w:szCs w:val="32"/>
        </w:rPr>
        <w:t>组织国内公开招标</w:t>
      </w:r>
      <w:r>
        <w:rPr>
          <w:rFonts w:hint="eastAsia" w:ascii="仿宋_GB2312" w:hAnsi="仿宋_GB2312" w:eastAsia="仿宋_GB2312" w:cs="仿宋_GB2312"/>
          <w:b w:val="0"/>
          <w:bCs w:val="0"/>
          <w:sz w:val="32"/>
          <w:szCs w:val="32"/>
          <w:lang w:eastAsia="zh-CN"/>
        </w:rPr>
        <w:t>，计划将评分靠前的</w:t>
      </w:r>
      <w:r>
        <w:rPr>
          <w:rFonts w:hint="eastAsia" w:ascii="仿宋_GB2312" w:hAnsi="仿宋_GB2312" w:eastAsia="仿宋_GB2312" w:cs="仿宋_GB2312"/>
          <w:b w:val="0"/>
          <w:bCs w:val="0"/>
          <w:sz w:val="32"/>
          <w:szCs w:val="32"/>
          <w:highlight w:val="none"/>
          <w:lang w:val="en-US" w:eastAsia="zh-CN"/>
        </w:rPr>
        <w:t>5家单位</w:t>
      </w:r>
      <w:r>
        <w:rPr>
          <w:rFonts w:hint="eastAsia" w:ascii="仿宋_GB2312" w:hAnsi="仿宋_GB2312" w:eastAsia="仿宋_GB2312" w:cs="仿宋_GB2312"/>
          <w:b w:val="0"/>
          <w:bCs w:val="0"/>
          <w:sz w:val="32"/>
          <w:szCs w:val="32"/>
          <w:lang w:val="en-US" w:eastAsia="zh-CN"/>
        </w:rPr>
        <w:t>纳入云南海胶承运商(实际入围数量以评标结果为准)，</w:t>
      </w:r>
      <w:r>
        <w:rPr>
          <w:rFonts w:hint="eastAsia" w:ascii="仿宋_GB2312" w:hAnsi="仿宋_GB2312" w:eastAsia="仿宋_GB2312" w:cs="仿宋_GB2312"/>
          <w:b w:val="0"/>
          <w:bCs w:val="0"/>
          <w:sz w:val="32"/>
          <w:szCs w:val="32"/>
        </w:rPr>
        <w:t>欢迎具备本项目资格要求的潜在投标人参加投标。</w:t>
      </w:r>
    </w:p>
    <w:p w14:paraId="67D6607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一、招标内容</w:t>
      </w:r>
    </w:p>
    <w:p w14:paraId="64CB13D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本年橡胶产品运输招标主要为了选取</w:t>
      </w:r>
      <w:r>
        <w:rPr>
          <w:rFonts w:hint="eastAsia" w:ascii="仿宋_GB2312" w:hAnsi="仿宋_GB2312" w:eastAsia="仿宋_GB2312" w:cs="仿宋_GB2312"/>
          <w:sz w:val="32"/>
          <w:szCs w:val="32"/>
          <w:lang w:val="en-US" w:eastAsia="zh-CN"/>
        </w:rPr>
        <w:t>承运</w:t>
      </w:r>
      <w:r>
        <w:rPr>
          <w:rFonts w:hint="eastAsia" w:ascii="仿宋_GB2312" w:hAnsi="仿宋_GB2312" w:eastAsia="仿宋_GB2312" w:cs="仿宋_GB2312"/>
          <w:sz w:val="32"/>
          <w:szCs w:val="32"/>
          <w:lang w:eastAsia="zh-CN"/>
        </w:rPr>
        <w:t>商，不固定运输单价，后续操作中运价一单一议。</w:t>
      </w:r>
      <w:r>
        <w:rPr>
          <w:rFonts w:hint="eastAsia" w:ascii="仿宋_GB2312" w:hAnsi="仿宋_GB2312" w:eastAsia="仿宋_GB2312" w:cs="仿宋_GB2312"/>
          <w:sz w:val="32"/>
          <w:szCs w:val="32"/>
          <w:lang w:val="en-US" w:eastAsia="zh-CN"/>
        </w:rPr>
        <w:t>将综合考量多方因素</w:t>
      </w:r>
      <w:r>
        <w:rPr>
          <w:rFonts w:hint="eastAsia" w:ascii="仿宋_GB2312" w:hAnsi="仿宋_GB2312" w:eastAsia="仿宋_GB2312" w:cs="仿宋_GB2312"/>
          <w:sz w:val="32"/>
          <w:szCs w:val="32"/>
          <w:lang w:eastAsia="zh-CN"/>
        </w:rPr>
        <w:t>择优选取承运</w:t>
      </w:r>
      <w:r>
        <w:rPr>
          <w:rFonts w:hint="eastAsia" w:ascii="仿宋_GB2312" w:hAnsi="仿宋_GB2312" w:eastAsia="仿宋_GB2312" w:cs="仿宋_GB2312"/>
          <w:sz w:val="32"/>
          <w:szCs w:val="32"/>
          <w:lang w:val="en-US" w:eastAsia="zh-CN"/>
        </w:rPr>
        <w:t>商</w:t>
      </w:r>
      <w:r>
        <w:rPr>
          <w:rFonts w:hint="eastAsia" w:ascii="仿宋_GB2312" w:hAnsi="仿宋_GB2312" w:eastAsia="仿宋_GB2312" w:cs="仿宋_GB2312"/>
          <w:sz w:val="32"/>
          <w:szCs w:val="32"/>
          <w:lang w:eastAsia="zh-CN"/>
        </w:rPr>
        <w:t>。</w:t>
      </w:r>
    </w:p>
    <w:p w14:paraId="52703C6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运输方式分为汽车运输</w:t>
      </w:r>
      <w:r>
        <w:rPr>
          <w:rFonts w:hint="eastAsia" w:ascii="仿宋_GB2312" w:hAnsi="仿宋_GB2312" w:eastAsia="仿宋_GB2312" w:cs="仿宋_GB2312"/>
          <w:sz w:val="32"/>
          <w:szCs w:val="32"/>
          <w:lang w:eastAsia="zh-CN"/>
        </w:rPr>
        <w:t>、公铁联运</w:t>
      </w:r>
      <w:r>
        <w:rPr>
          <w:rFonts w:hint="eastAsia" w:ascii="仿宋_GB2312" w:hAnsi="仿宋_GB2312" w:eastAsia="仿宋_GB2312" w:cs="仿宋_GB2312"/>
          <w:sz w:val="32"/>
          <w:szCs w:val="32"/>
        </w:rPr>
        <w:t>和海铁</w:t>
      </w:r>
      <w:r>
        <w:rPr>
          <w:rFonts w:hint="eastAsia" w:ascii="仿宋_GB2312" w:hAnsi="仿宋_GB2312" w:eastAsia="仿宋_GB2312" w:cs="仿宋_GB2312"/>
          <w:sz w:val="32"/>
          <w:szCs w:val="32"/>
          <w:lang w:eastAsia="zh-CN"/>
        </w:rPr>
        <w:t>联运等</w:t>
      </w:r>
      <w:r>
        <w:rPr>
          <w:rFonts w:hint="eastAsia" w:ascii="仿宋_GB2312" w:hAnsi="仿宋_GB2312" w:eastAsia="仿宋_GB2312" w:cs="仿宋_GB2312"/>
          <w:sz w:val="32"/>
          <w:szCs w:val="32"/>
        </w:rPr>
        <w:t>。</w:t>
      </w:r>
    </w:p>
    <w:p w14:paraId="0D1A616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二、服务期限</w:t>
      </w:r>
    </w:p>
    <w:p w14:paraId="6B87C07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自合同签订起一年。</w:t>
      </w:r>
    </w:p>
    <w:p w14:paraId="0D7B649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三、投标单位资格要求</w:t>
      </w:r>
    </w:p>
    <w:tbl>
      <w:tblPr>
        <w:tblStyle w:val="7"/>
        <w:tblW w:w="9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1"/>
        <w:gridCol w:w="3482"/>
        <w:gridCol w:w="4276"/>
      </w:tblGrid>
      <w:tr w14:paraId="5965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9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内容</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C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要求</w:t>
            </w:r>
          </w:p>
        </w:tc>
      </w:tr>
      <w:tr w14:paraId="38B2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2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1</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1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具有民事责任能力的法人或其他组织</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D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具备有效的营业执照</w:t>
            </w:r>
          </w:p>
        </w:tc>
      </w:tr>
      <w:tr w14:paraId="3B5B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2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2</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0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道路运输经营许可证</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DD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道路运输管理部门颁发，在有效期内的普通货运许可证，国际道路运输许可证</w:t>
            </w:r>
          </w:p>
        </w:tc>
      </w:tr>
      <w:tr w14:paraId="1728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B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3</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8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依法纳税记录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EA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提供2023-2024年度纳税证明材料</w:t>
            </w:r>
          </w:p>
        </w:tc>
      </w:tr>
      <w:tr w14:paraId="19E1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A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4</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E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公司业绩</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22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2023年至今有类似产品的运输经验，提供业绩证明材料的复印件</w:t>
            </w:r>
          </w:p>
        </w:tc>
      </w:tr>
      <w:tr w14:paraId="6656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5</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财务报表</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F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32"/>
                <w:szCs w:val="32"/>
              </w:rPr>
              <w:t>过去</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年的财务报表</w:t>
            </w:r>
          </w:p>
        </w:tc>
      </w:tr>
      <w:tr w14:paraId="60A3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6</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B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特殊要求</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26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具备境内和境外（老挝）各类运输经验，可做报关业务</w:t>
            </w:r>
          </w:p>
        </w:tc>
      </w:tr>
      <w:tr w14:paraId="787E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7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7</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4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保险要求</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DF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必须购买不低于承运货物售价的商业保险（提供已购保险的证明材料或书面承诺）</w:t>
            </w:r>
          </w:p>
        </w:tc>
      </w:tr>
      <w:tr w14:paraId="30C5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7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8</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E2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4A3FC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信用记录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8FB7">
            <w:pPr>
              <w:pStyle w:val="3"/>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1.提供承运商</w:t>
            </w:r>
            <w:r>
              <w:rPr>
                <w:rFonts w:hint="eastAsia" w:ascii="仿宋_GB2312" w:hAnsi="仿宋_GB2312" w:eastAsia="仿宋_GB2312" w:cs="仿宋_GB2312"/>
                <w:i w:val="0"/>
                <w:iCs w:val="0"/>
                <w:color w:val="000000"/>
                <w:kern w:val="0"/>
                <w:sz w:val="28"/>
                <w:szCs w:val="28"/>
                <w:highlight w:val="none"/>
                <w:u w:val="none"/>
                <w:lang w:val="en-US" w:eastAsia="zh-CN" w:bidi="ar"/>
              </w:rPr>
              <w:t>在中国执行信息公网（http://zxgk.court.gov.cn）未被列入失信被执行人，未被列入“信用中国</w:t>
            </w:r>
            <w:r>
              <w:rPr>
                <w:rFonts w:hint="eastAsia" w:ascii="仿宋_GB2312" w:hAnsi="仿宋_GB2312" w:eastAsia="仿宋_GB2312" w:cs="仿宋_GB2312"/>
                <w:i w:val="0"/>
                <w:iCs w:val="0"/>
                <w:color w:val="000000"/>
                <w:kern w:val="0"/>
                <w:sz w:val="28"/>
                <w:szCs w:val="28"/>
                <w:u w:val="none"/>
                <w:lang w:val="en-US" w:eastAsia="zh-CN" w:bidi="ar"/>
              </w:rPr>
              <w:t>”网站政府采购严重违法失信行为记录名单和税收违法黑名单，黑名单企业取消投标资格</w:t>
            </w:r>
          </w:p>
          <w:p w14:paraId="793D40E2">
            <w:pPr>
              <w:pStyle w:val="3"/>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未被列入“信用中国（云南）”站（http://yncredit.yn.gov.cn）行政处罚和失信惩戒记录，企业未被列入国家企业信用信息公示系统（http://www.gsxt.gov.cn）经营异常名录和严重违法失信企业名单，黑名单企业取消投标资格</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3.在经营活动中没有重大违法记录声明书（详见附件1）（弄虚作假一经核实取消投标资格）</w:t>
            </w:r>
          </w:p>
        </w:tc>
      </w:tr>
      <w:tr w14:paraId="37E2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7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9</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1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其他</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4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本</w:t>
            </w:r>
            <w:r>
              <w:rPr>
                <w:rStyle w:val="10"/>
                <w:rFonts w:hint="eastAsia" w:ascii="仿宋_GB2312" w:hAnsi="仿宋_GB2312" w:eastAsia="仿宋_GB2312" w:cs="仿宋_GB2312"/>
                <w:sz w:val="28"/>
                <w:szCs w:val="28"/>
                <w:lang w:val="en-US" w:eastAsia="zh-CN" w:bidi="ar"/>
              </w:rPr>
              <w:t>次招标</w:t>
            </w:r>
            <w:r>
              <w:rPr>
                <w:rStyle w:val="11"/>
                <w:rFonts w:hint="eastAsia" w:ascii="仿宋_GB2312" w:hAnsi="仿宋_GB2312" w:eastAsia="仿宋_GB2312" w:cs="仿宋_GB2312"/>
                <w:sz w:val="28"/>
                <w:szCs w:val="28"/>
                <w:lang w:val="en-US" w:eastAsia="zh-CN" w:bidi="ar"/>
              </w:rPr>
              <w:t>不接受联合体投标</w:t>
            </w:r>
          </w:p>
        </w:tc>
      </w:tr>
    </w:tbl>
    <w:p w14:paraId="32783E0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四、报名方式及开标时间地点</w:t>
      </w:r>
    </w:p>
    <w:p w14:paraId="23471AB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highlight w:val="none"/>
          <w:lang w:val="en-US" w:eastAsia="zh-CN"/>
        </w:rPr>
        <w:t>于2025年6月8日前将投标书及相关材料用特快专递邮寄或直接送达云南海胶。</w:t>
      </w:r>
    </w:p>
    <w:p w14:paraId="056E7C7E">
      <w:pPr>
        <w:pStyle w:val="3"/>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开标时间：</w:t>
      </w:r>
      <w:r>
        <w:rPr>
          <w:rFonts w:hint="eastAsia" w:ascii="仿宋_GB2312" w:hAnsi="仿宋_GB2312" w:eastAsia="仿宋_GB2312" w:cs="仿宋_GB2312"/>
          <w:sz w:val="32"/>
          <w:szCs w:val="32"/>
          <w:highlight w:val="none"/>
          <w:lang w:eastAsia="zh-CN"/>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日上午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：00</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开标地点：</w:t>
      </w:r>
      <w:r>
        <w:rPr>
          <w:rFonts w:hint="eastAsia" w:ascii="仿宋_GB2312" w:hAnsi="仿宋_GB2312" w:eastAsia="仿宋_GB2312" w:cs="仿宋_GB2312"/>
          <w:sz w:val="32"/>
          <w:szCs w:val="32"/>
          <w:lang w:val="en-US" w:eastAsia="zh-CN"/>
        </w:rPr>
        <w:t>云南省西双版纳州景洪市泼水广场商业区C</w:t>
      </w:r>
    </w:p>
    <w:p w14:paraId="55AF3788">
      <w:pPr>
        <w:pStyle w:val="3"/>
        <w:keepNext w:val="0"/>
        <w:keepLines w:val="0"/>
        <w:pageBreakBefore w:val="0"/>
        <w:widowControl w:val="0"/>
        <w:kinsoku/>
        <w:wordWrap/>
        <w:overflowPunct/>
        <w:topLinePunct w:val="0"/>
        <w:autoSpaceDE/>
        <w:autoSpaceDN/>
        <w:bidi w:val="0"/>
        <w:adjustRightInd/>
        <w:snapToGrid/>
        <w:spacing w:line="560" w:lineRule="exact"/>
        <w:ind w:left="640" w:hanging="640" w:hanging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区二单元四楼（云南海胶会议室）</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联系人：章宇 15870031759</w:t>
      </w:r>
    </w:p>
    <w:p w14:paraId="3AA721E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五、投标文件构成</w:t>
      </w:r>
    </w:p>
    <w:p w14:paraId="5D499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w:t>
      </w:r>
      <w:r>
        <w:rPr>
          <w:rFonts w:hint="eastAsia" w:ascii="仿宋_GB2312" w:hAnsi="仿宋_GB2312" w:eastAsia="仿宋_GB2312" w:cs="仿宋_GB2312"/>
          <w:sz w:val="32"/>
          <w:szCs w:val="32"/>
          <w:lang w:eastAsia="zh-CN"/>
        </w:rPr>
        <w:t>营业执照（正、副本复印件）</w:t>
      </w:r>
    </w:p>
    <w:p w14:paraId="51F14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w:t>
      </w:r>
      <w:r>
        <w:rPr>
          <w:rFonts w:hint="eastAsia" w:ascii="仿宋_GB2312" w:hAnsi="仿宋_GB2312" w:eastAsia="仿宋_GB2312" w:cs="仿宋_GB2312"/>
          <w:sz w:val="32"/>
          <w:szCs w:val="32"/>
        </w:rPr>
        <w:t>法定代表人身份证</w:t>
      </w:r>
      <w:r>
        <w:rPr>
          <w:rFonts w:hint="eastAsia" w:ascii="仿宋_GB2312" w:hAnsi="仿宋_GB2312" w:eastAsia="仿宋_GB2312" w:cs="仿宋_GB2312"/>
          <w:sz w:val="32"/>
          <w:szCs w:val="32"/>
          <w:lang w:eastAsia="zh-CN"/>
        </w:rPr>
        <w:t>复印件</w:t>
      </w:r>
    </w:p>
    <w:p w14:paraId="111306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w:t>
      </w:r>
      <w:r>
        <w:rPr>
          <w:rFonts w:hint="eastAsia" w:ascii="仿宋_GB2312" w:hAnsi="仿宋_GB2312" w:eastAsia="仿宋_GB2312" w:cs="仿宋_GB2312"/>
          <w:sz w:val="32"/>
          <w:szCs w:val="32"/>
        </w:rPr>
        <w:t>法定代表人授权委托书</w:t>
      </w:r>
      <w:r>
        <w:rPr>
          <w:rFonts w:hint="eastAsia" w:ascii="仿宋_GB2312" w:hAnsi="仿宋_GB2312" w:eastAsia="仿宋_GB2312" w:cs="仿宋_GB2312"/>
          <w:sz w:val="32"/>
          <w:szCs w:val="32"/>
          <w:lang w:eastAsia="zh-CN"/>
        </w:rPr>
        <w:t>（委托人</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复印件）</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b/>
          <w:bCs/>
          <w:sz w:val="32"/>
          <w:szCs w:val="32"/>
          <w:lang w:eastAsia="zh-CN"/>
        </w:rPr>
        <w:t>（四）</w:t>
      </w:r>
      <w:r>
        <w:rPr>
          <w:rFonts w:hint="eastAsia" w:ascii="仿宋_GB2312" w:hAnsi="仿宋_GB2312" w:eastAsia="仿宋_GB2312" w:cs="仿宋_GB2312"/>
          <w:i w:val="0"/>
          <w:iCs w:val="0"/>
          <w:color w:val="000000"/>
          <w:kern w:val="0"/>
          <w:sz w:val="32"/>
          <w:szCs w:val="32"/>
          <w:u w:val="none"/>
          <w:lang w:val="en-US" w:eastAsia="zh-CN" w:bidi="ar"/>
        </w:rPr>
        <w:t>道路运输经营许可证相关证明材料</w:t>
      </w:r>
    </w:p>
    <w:p w14:paraId="57175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（五）</w:t>
      </w:r>
      <w:r>
        <w:rPr>
          <w:rFonts w:hint="eastAsia" w:ascii="仿宋_GB2312" w:hAnsi="仿宋_GB2312" w:eastAsia="仿宋_GB2312" w:cs="仿宋_GB2312"/>
          <w:sz w:val="32"/>
          <w:szCs w:val="32"/>
          <w:lang w:eastAsia="zh-CN"/>
        </w:rPr>
        <w:t>纳税记录</w:t>
      </w:r>
    </w:p>
    <w:p w14:paraId="5A922F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olor w:val="000000"/>
          <w:kern w:val="0"/>
          <w:sz w:val="32"/>
          <w:szCs w:val="32"/>
          <w:u w:val="none"/>
          <w:lang w:val="en-US" w:eastAsia="zh-CN" w:bidi="ar"/>
        </w:rPr>
        <w:t>（六）</w:t>
      </w:r>
      <w:r>
        <w:rPr>
          <w:rFonts w:hint="eastAsia" w:ascii="仿宋_GB2312" w:hAnsi="仿宋_GB2312" w:eastAsia="仿宋_GB2312" w:cs="仿宋_GB2312"/>
          <w:i w:val="0"/>
          <w:iCs w:val="0"/>
          <w:color w:val="000000"/>
          <w:kern w:val="0"/>
          <w:sz w:val="32"/>
          <w:szCs w:val="32"/>
          <w:u w:val="none"/>
          <w:lang w:val="en-US" w:eastAsia="zh-CN" w:bidi="ar"/>
        </w:rPr>
        <w:t>公司业绩（橡胶产品境内及境外的运输经验）</w:t>
      </w:r>
    </w:p>
    <w:p w14:paraId="1E2125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olor w:val="000000"/>
          <w:kern w:val="0"/>
          <w:sz w:val="32"/>
          <w:szCs w:val="32"/>
          <w:u w:val="none"/>
          <w:lang w:val="en-US" w:eastAsia="zh-CN" w:bidi="ar"/>
        </w:rPr>
        <w:t>（七）</w:t>
      </w:r>
      <w:r>
        <w:rPr>
          <w:rFonts w:hint="eastAsia" w:ascii="仿宋_GB2312" w:hAnsi="仿宋_GB2312" w:eastAsia="仿宋_GB2312" w:cs="仿宋_GB2312"/>
          <w:i w:val="0"/>
          <w:iCs w:val="0"/>
          <w:color w:val="000000"/>
          <w:kern w:val="0"/>
          <w:sz w:val="32"/>
          <w:szCs w:val="32"/>
          <w:u w:val="none"/>
          <w:lang w:val="en-US" w:eastAsia="zh-CN" w:bidi="ar"/>
        </w:rPr>
        <w:t>运输保险</w:t>
      </w:r>
    </w:p>
    <w:p w14:paraId="0C99C7A2">
      <w:pPr>
        <w:pStyle w:val="3"/>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jc w:val="both"/>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楷体_GB2312" w:hAnsi="楷体_GB2312" w:eastAsia="楷体_GB2312" w:cs="楷体_GB2312"/>
          <w:b/>
          <w:bCs/>
          <w:i w:val="0"/>
          <w:iCs w:val="0"/>
          <w:color w:val="000000"/>
          <w:kern w:val="0"/>
          <w:sz w:val="32"/>
          <w:szCs w:val="32"/>
          <w:u w:val="none"/>
          <w:lang w:val="en-US" w:eastAsia="zh-CN" w:bidi="ar"/>
        </w:rPr>
        <w:t>（八）</w:t>
      </w:r>
      <w:r>
        <w:rPr>
          <w:rFonts w:hint="eastAsia" w:ascii="仿宋_GB2312" w:hAnsi="仿宋_GB2312" w:eastAsia="仿宋_GB2312" w:cs="仿宋_GB2312"/>
          <w:b w:val="0"/>
          <w:bCs w:val="0"/>
          <w:i w:val="0"/>
          <w:iCs w:val="0"/>
          <w:color w:val="000000"/>
          <w:kern w:val="0"/>
          <w:sz w:val="32"/>
          <w:szCs w:val="32"/>
          <w:u w:val="none"/>
          <w:lang w:val="en-US" w:eastAsia="zh-CN" w:bidi="ar"/>
        </w:rPr>
        <w:t>信用记录</w:t>
      </w:r>
    </w:p>
    <w:p w14:paraId="0538D70A">
      <w:pPr>
        <w:pStyle w:val="3"/>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eastAsia="zh-CN"/>
        </w:rPr>
        <w:t>资产负债率、主营业务收入提供</w:t>
      </w:r>
      <w:r>
        <w:rPr>
          <w:rFonts w:hint="eastAsia" w:ascii="仿宋_GB2312" w:hAnsi="仿宋_GB2312" w:eastAsia="仿宋_GB2312" w:cs="仿宋_GB2312"/>
          <w:sz w:val="32"/>
          <w:szCs w:val="32"/>
          <w:lang w:val="en-US" w:eastAsia="zh-CN"/>
        </w:rPr>
        <w:t>2023-2024</w:t>
      </w:r>
      <w:r>
        <w:rPr>
          <w:rFonts w:hint="eastAsia" w:ascii="仿宋_GB2312" w:hAnsi="仿宋_GB2312" w:eastAsia="仿宋_GB2312" w:cs="仿宋_GB2312"/>
          <w:sz w:val="32"/>
          <w:szCs w:val="32"/>
          <w:lang w:eastAsia="zh-CN"/>
        </w:rPr>
        <w:t>年审计报告（</w:t>
      </w:r>
      <w:r>
        <w:rPr>
          <w:rFonts w:hint="eastAsia" w:ascii="仿宋_GB2312" w:hAnsi="仿宋_GB2312" w:eastAsia="仿宋_GB2312" w:cs="仿宋_GB2312"/>
          <w:sz w:val="32"/>
          <w:szCs w:val="32"/>
          <w:lang w:val="en-US" w:eastAsia="zh-CN"/>
        </w:rPr>
        <w:t>若无审计报告则提供加盖公章的财务报表</w:t>
      </w:r>
      <w:r>
        <w:rPr>
          <w:rFonts w:hint="eastAsia" w:ascii="仿宋_GB2312" w:hAnsi="仿宋_GB2312" w:eastAsia="仿宋_GB2312" w:cs="仿宋_GB2312"/>
          <w:sz w:val="32"/>
          <w:szCs w:val="32"/>
          <w:lang w:eastAsia="zh-CN"/>
        </w:rPr>
        <w:t>）</w:t>
      </w:r>
    </w:p>
    <w:p w14:paraId="65A7861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六、评分标准</w:t>
      </w:r>
      <w:r>
        <w:rPr>
          <w:rFonts w:hint="eastAsia" w:ascii="仿宋_GB2312" w:hAnsi="仿宋_GB2312" w:eastAsia="仿宋_GB2312" w:cs="仿宋_GB2312"/>
          <w:sz w:val="32"/>
          <w:szCs w:val="32"/>
          <w:lang w:val="en-US" w:eastAsia="zh-CN"/>
        </w:rPr>
        <w:t>（详见附件2）</w:t>
      </w:r>
    </w:p>
    <w:p w14:paraId="3A17BF3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color w:val="auto"/>
          <w:sz w:val="32"/>
          <w:szCs w:val="32"/>
          <w:highlight w:val="none"/>
          <w:lang w:val="en-US" w:eastAsia="zh-CN"/>
        </w:rPr>
        <w:t>、运输要求</w:t>
      </w:r>
    </w:p>
    <w:p w14:paraId="128D1486">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仿宋_GB2312" w:hAnsi="仿宋_GB2312" w:eastAsia="仿宋_GB2312" w:cs="仿宋_GB2312"/>
          <w:sz w:val="32"/>
          <w:szCs w:val="32"/>
          <w:lang w:val="en-US" w:eastAsia="zh-CN"/>
        </w:rPr>
        <w:t>承运</w:t>
      </w:r>
      <w:r>
        <w:rPr>
          <w:rFonts w:hint="eastAsia" w:ascii="仿宋_GB2312" w:hAnsi="仿宋_GB2312" w:eastAsia="仿宋_GB2312" w:cs="仿宋_GB2312"/>
          <w:sz w:val="32"/>
          <w:szCs w:val="32"/>
          <w:lang w:eastAsia="zh-CN"/>
        </w:rPr>
        <w:t>商</w:t>
      </w:r>
      <w:r>
        <w:rPr>
          <w:rFonts w:hint="eastAsia" w:ascii="仿宋_GB2312" w:hAnsi="仿宋_GB2312" w:eastAsia="仿宋_GB2312" w:cs="仿宋_GB2312"/>
          <w:sz w:val="32"/>
          <w:szCs w:val="32"/>
          <w:lang w:val="en-US" w:eastAsia="zh-CN"/>
        </w:rPr>
        <w:t>须确保货物安全送达，运输过程的任何风险及损失，概由承运</w:t>
      </w:r>
      <w:r>
        <w:rPr>
          <w:rFonts w:hint="eastAsia" w:ascii="仿宋_GB2312" w:hAnsi="仿宋_GB2312" w:eastAsia="仿宋_GB2312" w:cs="仿宋_GB2312"/>
          <w:sz w:val="32"/>
          <w:szCs w:val="32"/>
          <w:lang w:eastAsia="zh-CN"/>
        </w:rPr>
        <w:t>商</w:t>
      </w:r>
      <w:r>
        <w:rPr>
          <w:rFonts w:hint="eastAsia" w:ascii="仿宋_GB2312" w:hAnsi="仿宋_GB2312" w:eastAsia="仿宋_GB2312" w:cs="仿宋_GB2312"/>
          <w:sz w:val="32"/>
          <w:szCs w:val="32"/>
          <w:lang w:val="en-US" w:eastAsia="zh-CN"/>
        </w:rPr>
        <w:t>自行承担全责。且所承运的货物必须购买货物运输保险。</w:t>
      </w:r>
    </w:p>
    <w:p w14:paraId="7BD1EF11">
      <w:pPr>
        <w:pStyle w:val="3"/>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w:t>
      </w:r>
      <w:r>
        <w:rPr>
          <w:rFonts w:hint="eastAsia" w:ascii="仿宋_GB2312" w:hAnsi="仿宋_GB2312" w:eastAsia="仿宋_GB2312" w:cs="仿宋_GB2312"/>
          <w:sz w:val="32"/>
          <w:szCs w:val="32"/>
          <w:lang w:val="en-US" w:eastAsia="zh-CN"/>
        </w:rPr>
        <w:t>装运载体须干净、无破损，须规范装卸，保证货物外袋不受潮和污染，同时保证袋内同样不能受潮受污染。由于承运运输过程产生的受湿、包装污染、破损以及缺件丢失等，概由承运</w:t>
      </w:r>
      <w:r>
        <w:rPr>
          <w:rFonts w:hint="eastAsia" w:ascii="仿宋_GB2312" w:hAnsi="仿宋_GB2312" w:eastAsia="仿宋_GB2312" w:cs="仿宋_GB2312"/>
          <w:sz w:val="32"/>
          <w:szCs w:val="32"/>
          <w:lang w:eastAsia="zh-CN"/>
        </w:rPr>
        <w:t>商</w:t>
      </w:r>
      <w:r>
        <w:rPr>
          <w:rFonts w:hint="eastAsia" w:ascii="仿宋_GB2312" w:hAnsi="仿宋_GB2312" w:eastAsia="仿宋_GB2312" w:cs="仿宋_GB2312"/>
          <w:sz w:val="32"/>
          <w:szCs w:val="32"/>
          <w:lang w:val="en-US" w:eastAsia="zh-CN"/>
        </w:rPr>
        <w:t>全责赔付。</w:t>
      </w:r>
    </w:p>
    <w:p w14:paraId="7956D350">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w:t>
      </w:r>
      <w:r>
        <w:rPr>
          <w:rFonts w:hint="eastAsia" w:ascii="仿宋_GB2312" w:hAnsi="仿宋_GB2312" w:eastAsia="仿宋_GB2312" w:cs="仿宋_GB2312"/>
          <w:sz w:val="32"/>
          <w:szCs w:val="32"/>
          <w:lang w:val="en-US" w:eastAsia="zh-CN"/>
        </w:rPr>
        <w:t>托盘胶运输途中应加垫隔板，保证托盘及外袋不损坏。</w:t>
      </w:r>
    </w:p>
    <w:p w14:paraId="13E99923">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w:t>
      </w:r>
      <w:r>
        <w:rPr>
          <w:rFonts w:hint="eastAsia" w:ascii="仿宋_GB2312" w:hAnsi="仿宋_GB2312" w:eastAsia="仿宋_GB2312" w:cs="仿宋_GB2312"/>
          <w:sz w:val="32"/>
          <w:szCs w:val="32"/>
          <w:lang w:val="en-US" w:eastAsia="zh-CN"/>
        </w:rPr>
        <w:t>工厂送货承运</w:t>
      </w:r>
      <w:r>
        <w:rPr>
          <w:rFonts w:hint="eastAsia" w:ascii="仿宋_GB2312" w:hAnsi="仿宋_GB2312" w:eastAsia="仿宋_GB2312" w:cs="仿宋_GB2312"/>
          <w:sz w:val="32"/>
          <w:szCs w:val="32"/>
          <w:lang w:eastAsia="zh-CN"/>
        </w:rPr>
        <w:t>商</w:t>
      </w:r>
      <w:r>
        <w:rPr>
          <w:rFonts w:hint="eastAsia" w:ascii="仿宋_GB2312" w:hAnsi="仿宋_GB2312" w:eastAsia="仿宋_GB2312" w:cs="仿宋_GB2312"/>
          <w:sz w:val="32"/>
          <w:szCs w:val="32"/>
          <w:lang w:val="en-US" w:eastAsia="zh-CN"/>
        </w:rPr>
        <w:t>须自行承担（由于工厂原因形成的）排队卸货、及不能当天卸货的费用风险。</w:t>
      </w:r>
    </w:p>
    <w:p w14:paraId="59DF491F">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w:t>
      </w:r>
      <w:r>
        <w:rPr>
          <w:rFonts w:hint="eastAsia" w:ascii="仿宋_GB2312" w:hAnsi="仿宋_GB2312" w:eastAsia="仿宋_GB2312" w:cs="仿宋_GB2312"/>
          <w:sz w:val="32"/>
          <w:szCs w:val="32"/>
          <w:lang w:val="en-US" w:eastAsia="zh-CN"/>
        </w:rPr>
        <w:t>承运</w:t>
      </w:r>
      <w:r>
        <w:rPr>
          <w:rFonts w:hint="eastAsia" w:ascii="仿宋_GB2312" w:hAnsi="仿宋_GB2312" w:eastAsia="仿宋_GB2312" w:cs="仿宋_GB2312"/>
          <w:sz w:val="32"/>
          <w:szCs w:val="32"/>
          <w:lang w:eastAsia="zh-CN"/>
        </w:rPr>
        <w:t>商</w:t>
      </w:r>
      <w:r>
        <w:rPr>
          <w:rFonts w:hint="eastAsia" w:ascii="仿宋_GB2312" w:hAnsi="仿宋_GB2312" w:eastAsia="仿宋_GB2312" w:cs="仿宋_GB2312"/>
          <w:sz w:val="32"/>
          <w:szCs w:val="32"/>
          <w:lang w:val="en-US" w:eastAsia="zh-CN"/>
        </w:rPr>
        <w:t>自接受发运委托书之日起，须每天提供货物在途情况台账（运输时提供样板）。</w:t>
      </w:r>
    </w:p>
    <w:p w14:paraId="72AA1ED1">
      <w:pPr>
        <w:keepNext w:val="0"/>
        <w:keepLines w:val="0"/>
        <w:pageBreakBefore w:val="0"/>
        <w:widowControl w:val="0"/>
        <w:kinsoku/>
        <w:wordWrap/>
        <w:overflowPunct/>
        <w:topLinePunct w:val="0"/>
        <w:autoSpaceDE/>
        <w:autoSpaceDN/>
        <w:bidi w:val="0"/>
        <w:adjustRightInd/>
        <w:snapToGrid/>
        <w:spacing w:before="156" w:after="156"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（六）</w:t>
      </w:r>
      <w:r>
        <w:rPr>
          <w:rFonts w:hint="eastAsia" w:ascii="仿宋_GB2312" w:hAnsi="仿宋_GB2312" w:eastAsia="仿宋_GB2312" w:cs="仿宋_GB2312"/>
          <w:sz w:val="32"/>
          <w:szCs w:val="32"/>
          <w:lang w:val="en-US" w:eastAsia="zh-CN"/>
        </w:rPr>
        <w:t>承运商</w:t>
      </w:r>
      <w:r>
        <w:rPr>
          <w:rFonts w:hint="eastAsia" w:ascii="仿宋_GB2312" w:hAnsi="仿宋_GB2312" w:eastAsia="仿宋_GB2312" w:cs="仿宋_GB2312"/>
          <w:sz w:val="32"/>
          <w:szCs w:val="32"/>
        </w:rPr>
        <w:t>未能按时安排车辆到达</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指定装货地点</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有权从履约保证金或应向</w:t>
      </w:r>
      <w:r>
        <w:rPr>
          <w:rFonts w:hint="eastAsia" w:ascii="仿宋_GB2312" w:hAnsi="仿宋_GB2312" w:eastAsia="仿宋_GB2312" w:cs="仿宋_GB2312"/>
          <w:sz w:val="32"/>
          <w:szCs w:val="32"/>
          <w:lang w:eastAsia="zh-CN"/>
        </w:rPr>
        <w:t>承运商</w:t>
      </w:r>
      <w:r>
        <w:rPr>
          <w:rFonts w:hint="eastAsia" w:ascii="仿宋_GB2312" w:hAnsi="仿宋_GB2312" w:eastAsia="仿宋_GB2312" w:cs="仿宋_GB2312"/>
          <w:sz w:val="32"/>
          <w:szCs w:val="32"/>
        </w:rPr>
        <w:t>支付的运费中扣减违约金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扣减标准：超过规定期限5小时，24小时以内按照800元/次，超过规定期限24小时以上以2000元/日。协议约定期内未能按时安排车辆累计超过三次，</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有权终止协议并取消</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承运资格，且</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不承担任何违约责任。</w:t>
      </w:r>
    </w:p>
    <w:p w14:paraId="6D00FB43">
      <w:pPr>
        <w:keepNext w:val="0"/>
        <w:keepLines w:val="0"/>
        <w:pageBreakBefore w:val="0"/>
        <w:widowControl w:val="0"/>
        <w:kinsoku/>
        <w:wordWrap/>
        <w:overflowPunct/>
        <w:topLinePunct w:val="0"/>
        <w:autoSpaceDE/>
        <w:autoSpaceDN/>
        <w:bidi w:val="0"/>
        <w:adjustRightInd/>
        <w:snapToGrid/>
        <w:spacing w:before="156" w:after="156" w:line="240" w:lineRule="auto"/>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（七）</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履行期间，</w:t>
      </w:r>
      <w:r>
        <w:rPr>
          <w:rFonts w:hint="eastAsia" w:ascii="仿宋_GB2312" w:hAnsi="仿宋_GB2312" w:eastAsia="仿宋_GB2312" w:cs="仿宋_GB2312"/>
          <w:sz w:val="32"/>
          <w:szCs w:val="32"/>
          <w:lang w:eastAsia="zh-CN"/>
        </w:rPr>
        <w:t>承运商</w:t>
      </w:r>
      <w:r>
        <w:rPr>
          <w:rFonts w:hint="eastAsia" w:ascii="仿宋_GB2312" w:hAnsi="仿宋_GB2312" w:eastAsia="仿宋_GB2312" w:cs="仿宋_GB2312"/>
          <w:sz w:val="32"/>
          <w:szCs w:val="32"/>
        </w:rPr>
        <w:t>不能完成</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运输委托时，</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方有权选择其他承运商进行运输，由此造成</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运输成本超出约定</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，超出部分及由此造成的经济损失均由承运商承担。</w:t>
      </w:r>
    </w:p>
    <w:p w14:paraId="66142329">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（八）</w:t>
      </w:r>
      <w:r>
        <w:rPr>
          <w:rFonts w:hint="eastAsia" w:ascii="仿宋_GB2312" w:hAnsi="仿宋_GB2312" w:eastAsia="仿宋_GB2312" w:cs="仿宋_GB2312"/>
          <w:sz w:val="32"/>
          <w:szCs w:val="32"/>
          <w:lang w:val="en-US" w:eastAsia="zh-CN"/>
        </w:rPr>
        <w:t>运量是预估量，结算以实际安全送达目的地月度业务量为准，按月进行结算。此外，无论入围单位最终承运多少货物，投标人均不得要求中途退还保证金，且不得改变服务质量。</w:t>
      </w:r>
    </w:p>
    <w:p w14:paraId="42DAD6D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八、2025年境内、境外预估运量</w:t>
      </w:r>
    </w:p>
    <w:tbl>
      <w:tblPr>
        <w:tblStyle w:val="7"/>
        <w:tblW w:w="7777" w:type="dxa"/>
        <w:jc w:val="center"/>
        <w:tblLayout w:type="fixed"/>
        <w:tblCellMar>
          <w:top w:w="0" w:type="dxa"/>
          <w:left w:w="108" w:type="dxa"/>
          <w:bottom w:w="0" w:type="dxa"/>
          <w:right w:w="108" w:type="dxa"/>
        </w:tblCellMar>
      </w:tblPr>
      <w:tblGrid>
        <w:gridCol w:w="792"/>
        <w:gridCol w:w="1885"/>
        <w:gridCol w:w="2212"/>
        <w:gridCol w:w="1820"/>
        <w:gridCol w:w="1068"/>
      </w:tblGrid>
      <w:tr w14:paraId="6FE87782">
        <w:tblPrEx>
          <w:tblCellMar>
            <w:top w:w="0" w:type="dxa"/>
            <w:left w:w="108" w:type="dxa"/>
            <w:bottom w:w="0" w:type="dxa"/>
            <w:right w:w="108" w:type="dxa"/>
          </w:tblCellMar>
        </w:tblPrEx>
        <w:trPr>
          <w:trHeight w:val="133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4E91348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000000"/>
                <w:sz w:val="28"/>
                <w:szCs w:val="28"/>
                <w:u w:val="none"/>
              </w:rPr>
            </w:pPr>
            <w:r>
              <w:rPr>
                <w:rFonts w:hint="eastAsia" w:ascii="仿宋_GB2312" w:hAnsi="仿宋_GB2312" w:eastAsia="仿宋_GB2312" w:cs="仿宋_GB2312"/>
                <w:b/>
                <w:bCs/>
                <w:color w:val="000000"/>
                <w:kern w:val="0"/>
                <w:sz w:val="28"/>
                <w:szCs w:val="28"/>
                <w:u w:val="none"/>
                <w:lang w:bidi="ar"/>
              </w:rPr>
              <w:t>标段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3C75E6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000000"/>
                <w:sz w:val="28"/>
                <w:szCs w:val="28"/>
                <w:u w:val="none"/>
              </w:rPr>
            </w:pPr>
            <w:r>
              <w:rPr>
                <w:rFonts w:hint="eastAsia" w:ascii="仿宋_GB2312" w:hAnsi="仿宋_GB2312" w:eastAsia="仿宋_GB2312" w:cs="仿宋_GB2312"/>
                <w:b/>
                <w:bCs/>
                <w:color w:val="000000"/>
                <w:kern w:val="0"/>
                <w:sz w:val="28"/>
                <w:szCs w:val="28"/>
                <w:u w:val="none"/>
                <w:lang w:bidi="ar"/>
              </w:rPr>
              <w:t>运输起始点</w:t>
            </w:r>
            <w:r>
              <w:rPr>
                <w:rFonts w:hint="eastAsia" w:ascii="仿宋_GB2312" w:hAnsi="仿宋_GB2312" w:eastAsia="仿宋_GB2312" w:cs="仿宋_GB2312"/>
                <w:b/>
                <w:bCs/>
                <w:color w:val="000000"/>
                <w:kern w:val="0"/>
                <w:sz w:val="28"/>
                <w:szCs w:val="28"/>
                <w:u w:val="none"/>
                <w:lang w:val="en-US" w:eastAsia="zh-CN" w:bidi="ar"/>
              </w:rPr>
              <w:t xml:space="preserve">  </w:t>
            </w:r>
            <w:r>
              <w:rPr>
                <w:rFonts w:hint="eastAsia" w:ascii="仿宋_GB2312" w:hAnsi="仿宋_GB2312" w:eastAsia="仿宋_GB2312" w:cs="仿宋_GB2312"/>
                <w:b/>
                <w:bCs/>
                <w:color w:val="000000"/>
                <w:kern w:val="0"/>
                <w:sz w:val="28"/>
                <w:szCs w:val="28"/>
                <w:u w:val="none"/>
                <w:lang w:bidi="ar"/>
              </w:rPr>
              <w:t>（各厂地址）</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65BE5D0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000000"/>
                <w:sz w:val="28"/>
                <w:szCs w:val="28"/>
                <w:u w:val="none"/>
              </w:rPr>
            </w:pPr>
            <w:r>
              <w:rPr>
                <w:rFonts w:hint="eastAsia" w:ascii="仿宋_GB2312" w:hAnsi="仿宋_GB2312" w:eastAsia="仿宋_GB2312" w:cs="仿宋_GB2312"/>
                <w:b/>
                <w:bCs/>
                <w:color w:val="000000"/>
                <w:kern w:val="0"/>
                <w:sz w:val="28"/>
                <w:szCs w:val="28"/>
                <w:u w:val="none"/>
                <w:lang w:bidi="ar"/>
              </w:rPr>
              <w:t>到达目的地</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0FB17C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000000"/>
                <w:sz w:val="28"/>
                <w:szCs w:val="28"/>
                <w:u w:val="none"/>
              </w:rPr>
            </w:pPr>
            <w:r>
              <w:rPr>
                <w:rFonts w:hint="eastAsia" w:ascii="仿宋_GB2312" w:hAnsi="仿宋_GB2312" w:eastAsia="仿宋_GB2312" w:cs="仿宋_GB2312"/>
                <w:b/>
                <w:bCs/>
                <w:color w:val="000000"/>
                <w:kern w:val="0"/>
                <w:sz w:val="28"/>
                <w:szCs w:val="28"/>
                <w:u w:val="none"/>
                <w:lang w:eastAsia="zh-CN" w:bidi="ar"/>
              </w:rPr>
              <w:t>202</w:t>
            </w:r>
            <w:r>
              <w:rPr>
                <w:rFonts w:hint="eastAsia" w:ascii="仿宋_GB2312" w:hAnsi="仿宋_GB2312" w:eastAsia="仿宋_GB2312" w:cs="仿宋_GB2312"/>
                <w:b/>
                <w:bCs/>
                <w:color w:val="000000"/>
                <w:kern w:val="0"/>
                <w:sz w:val="28"/>
                <w:szCs w:val="28"/>
                <w:u w:val="none"/>
                <w:lang w:val="en-US" w:eastAsia="zh-CN" w:bidi="ar"/>
              </w:rPr>
              <w:t>5年</w:t>
            </w:r>
            <w:r>
              <w:rPr>
                <w:rFonts w:hint="eastAsia" w:ascii="仿宋_GB2312" w:hAnsi="仿宋_GB2312" w:eastAsia="仿宋_GB2312" w:cs="仿宋_GB2312"/>
                <w:b/>
                <w:bCs/>
                <w:color w:val="000000"/>
                <w:kern w:val="0"/>
                <w:sz w:val="28"/>
                <w:szCs w:val="28"/>
                <w:u w:val="none"/>
                <w:lang w:eastAsia="zh-CN" w:bidi="ar"/>
              </w:rPr>
              <w:t>估</w:t>
            </w:r>
            <w:r>
              <w:rPr>
                <w:rFonts w:hint="eastAsia" w:ascii="仿宋_GB2312" w:hAnsi="仿宋_GB2312" w:eastAsia="仿宋_GB2312" w:cs="仿宋_GB2312"/>
                <w:b/>
                <w:bCs/>
                <w:color w:val="000000"/>
                <w:kern w:val="0"/>
                <w:sz w:val="28"/>
                <w:szCs w:val="28"/>
                <w:u w:val="none"/>
                <w:lang w:bidi="ar"/>
              </w:rPr>
              <w:t>运</w:t>
            </w:r>
            <w:r>
              <w:rPr>
                <w:rFonts w:hint="eastAsia" w:ascii="仿宋_GB2312" w:hAnsi="仿宋_GB2312" w:eastAsia="仿宋_GB2312" w:cs="仿宋_GB2312"/>
                <w:b/>
                <w:bCs/>
                <w:color w:val="000000"/>
                <w:kern w:val="0"/>
                <w:sz w:val="28"/>
                <w:szCs w:val="28"/>
                <w:u w:val="none"/>
                <w:lang w:val="en-US" w:eastAsia="zh-CN" w:bidi="ar"/>
              </w:rPr>
              <w:t xml:space="preserve">  </w:t>
            </w:r>
            <w:r>
              <w:rPr>
                <w:rFonts w:hint="eastAsia" w:ascii="仿宋_GB2312" w:hAnsi="仿宋_GB2312" w:eastAsia="仿宋_GB2312" w:cs="仿宋_GB2312"/>
                <w:b/>
                <w:bCs/>
                <w:color w:val="000000"/>
                <w:kern w:val="0"/>
                <w:sz w:val="28"/>
                <w:szCs w:val="28"/>
                <w:u w:val="none"/>
                <w:lang w:bidi="ar"/>
              </w:rPr>
              <w:t>数量（吨）</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CF67CE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color w:val="000000"/>
                <w:sz w:val="28"/>
                <w:szCs w:val="28"/>
                <w:u w:val="none"/>
              </w:rPr>
            </w:pPr>
            <w:r>
              <w:rPr>
                <w:rFonts w:hint="eastAsia" w:ascii="仿宋_GB2312" w:hAnsi="仿宋_GB2312" w:eastAsia="仿宋_GB2312" w:cs="仿宋_GB2312"/>
                <w:b/>
                <w:bCs/>
                <w:color w:val="000000"/>
                <w:kern w:val="0"/>
                <w:sz w:val="28"/>
                <w:szCs w:val="28"/>
                <w:u w:val="none"/>
                <w:lang w:bidi="ar"/>
              </w:rPr>
              <w:t>备注</w:t>
            </w:r>
          </w:p>
        </w:tc>
      </w:tr>
      <w:tr w14:paraId="469DDB3A">
        <w:tblPrEx>
          <w:tblCellMar>
            <w:top w:w="0" w:type="dxa"/>
            <w:left w:w="108" w:type="dxa"/>
            <w:bottom w:w="0" w:type="dxa"/>
            <w:right w:w="108" w:type="dxa"/>
          </w:tblCellMar>
        </w:tblPrEx>
        <w:trPr>
          <w:trHeight w:val="557" w:hRule="atLeast"/>
          <w:jc w:val="center"/>
        </w:trPr>
        <w:tc>
          <w:tcPr>
            <w:tcW w:w="792" w:type="dxa"/>
            <w:tcBorders>
              <w:top w:val="single" w:color="auto" w:sz="4" w:space="0"/>
              <w:left w:val="single" w:color="auto" w:sz="4" w:space="0"/>
              <w:bottom w:val="single" w:color="auto" w:sz="4" w:space="0"/>
              <w:right w:val="single" w:color="auto" w:sz="4" w:space="0"/>
            </w:tcBorders>
            <w:noWrap/>
            <w:vAlign w:val="center"/>
          </w:tcPr>
          <w:p w14:paraId="28F0B23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境外标段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9EA61D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kern w:val="0"/>
                <w:sz w:val="28"/>
                <w:szCs w:val="28"/>
                <w:u w:val="none"/>
                <w:lang w:eastAsia="zh-CN" w:bidi="ar"/>
              </w:rPr>
            </w:pPr>
            <w:r>
              <w:rPr>
                <w:rFonts w:hint="eastAsia" w:ascii="仿宋_GB2312" w:hAnsi="仿宋_GB2312" w:eastAsia="仿宋_GB2312" w:cs="仿宋_GB2312"/>
                <w:color w:val="000000"/>
                <w:kern w:val="0"/>
                <w:sz w:val="28"/>
                <w:szCs w:val="28"/>
                <w:u w:val="none"/>
                <w:lang w:eastAsia="zh-CN" w:bidi="ar"/>
              </w:rPr>
              <w:t>老挝境</w:t>
            </w:r>
            <w:r>
              <w:rPr>
                <w:rFonts w:hint="eastAsia" w:ascii="仿宋_GB2312" w:hAnsi="仿宋_GB2312" w:eastAsia="仿宋_GB2312" w:cs="仿宋_GB2312"/>
                <w:color w:val="000000"/>
                <w:kern w:val="0"/>
                <w:sz w:val="28"/>
                <w:szCs w:val="28"/>
                <w:u w:val="none"/>
                <w:lang w:val="en-US" w:eastAsia="zh-CN" w:bidi="ar"/>
              </w:rPr>
              <w:t>内</w:t>
            </w:r>
            <w:r>
              <w:rPr>
                <w:rFonts w:hint="eastAsia" w:ascii="仿宋_GB2312" w:hAnsi="仿宋_GB2312" w:eastAsia="仿宋_GB2312" w:cs="仿宋_GB2312"/>
                <w:color w:val="000000"/>
                <w:kern w:val="0"/>
                <w:sz w:val="28"/>
                <w:szCs w:val="28"/>
                <w:u w:val="none"/>
                <w:lang w:eastAsia="zh-CN" w:bidi="ar"/>
              </w:rPr>
              <w:t>指定装货地</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36F5A54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磨憨/景洪/昆明/勐腊等指定卸货地</w:t>
            </w:r>
          </w:p>
        </w:tc>
        <w:tc>
          <w:tcPr>
            <w:tcW w:w="1820" w:type="dxa"/>
            <w:tcBorders>
              <w:top w:val="single" w:color="auto" w:sz="4" w:space="0"/>
              <w:left w:val="single" w:color="auto" w:sz="4" w:space="0"/>
              <w:bottom w:val="single" w:color="auto" w:sz="4" w:space="0"/>
              <w:right w:val="single" w:color="auto" w:sz="4" w:space="0"/>
            </w:tcBorders>
            <w:noWrap/>
            <w:vAlign w:val="center"/>
          </w:tcPr>
          <w:p w14:paraId="281C975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kern w:val="0"/>
                <w:sz w:val="28"/>
                <w:szCs w:val="28"/>
                <w:highlight w:val="none"/>
                <w:u w:val="none"/>
                <w:lang w:val="en-US" w:eastAsia="zh-CN" w:bidi="ar"/>
              </w:rPr>
            </w:pPr>
            <w:r>
              <w:rPr>
                <w:rFonts w:hint="eastAsia" w:ascii="仿宋_GB2312" w:hAnsi="仿宋_GB2312" w:eastAsia="仿宋_GB2312" w:cs="仿宋_GB2312"/>
                <w:color w:val="000000"/>
                <w:kern w:val="0"/>
                <w:sz w:val="28"/>
                <w:szCs w:val="28"/>
                <w:highlight w:val="none"/>
                <w:u w:val="none"/>
                <w:lang w:val="en-US" w:eastAsia="zh-CN" w:bidi="ar"/>
              </w:rPr>
              <w:t>7000</w:t>
            </w:r>
          </w:p>
        </w:tc>
        <w:tc>
          <w:tcPr>
            <w:tcW w:w="1068" w:type="dxa"/>
            <w:tcBorders>
              <w:top w:val="single" w:color="auto" w:sz="4" w:space="0"/>
              <w:left w:val="single" w:color="auto" w:sz="4" w:space="0"/>
              <w:bottom w:val="single" w:color="auto" w:sz="4" w:space="0"/>
              <w:right w:val="single" w:color="auto" w:sz="4" w:space="0"/>
            </w:tcBorders>
            <w:noWrap/>
            <w:vAlign w:val="center"/>
          </w:tcPr>
          <w:p w14:paraId="5277EAE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kern w:val="0"/>
                <w:sz w:val="28"/>
                <w:szCs w:val="28"/>
                <w:u w:val="none"/>
                <w:lang w:val="en-US" w:eastAsia="zh-CN" w:bidi="ar"/>
              </w:rPr>
            </w:pPr>
            <w:r>
              <w:rPr>
                <w:rFonts w:hint="eastAsia" w:ascii="仿宋_GB2312" w:hAnsi="仿宋_GB2312" w:eastAsia="仿宋_GB2312" w:cs="仿宋_GB2312"/>
                <w:color w:val="000000"/>
                <w:kern w:val="0"/>
                <w:sz w:val="28"/>
                <w:szCs w:val="28"/>
                <w:u w:val="none"/>
                <w:lang w:bidi="ar"/>
              </w:rPr>
              <w:t>门到门</w:t>
            </w:r>
          </w:p>
        </w:tc>
      </w:tr>
      <w:tr w14:paraId="604A4F82">
        <w:tblPrEx>
          <w:tblCellMar>
            <w:top w:w="0" w:type="dxa"/>
            <w:left w:w="108" w:type="dxa"/>
            <w:bottom w:w="0" w:type="dxa"/>
            <w:right w:w="108" w:type="dxa"/>
          </w:tblCellMar>
        </w:tblPrEx>
        <w:trPr>
          <w:trHeight w:val="557" w:hRule="atLeast"/>
          <w:jc w:val="center"/>
        </w:trPr>
        <w:tc>
          <w:tcPr>
            <w:tcW w:w="792" w:type="dxa"/>
            <w:tcBorders>
              <w:top w:val="single" w:color="auto" w:sz="4" w:space="0"/>
              <w:left w:val="single" w:color="auto" w:sz="4" w:space="0"/>
              <w:bottom w:val="single" w:color="auto" w:sz="4" w:space="0"/>
              <w:right w:val="single" w:color="auto" w:sz="4" w:space="0"/>
            </w:tcBorders>
            <w:noWrap/>
            <w:vAlign w:val="center"/>
          </w:tcPr>
          <w:p w14:paraId="42A3C27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境内标段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DBBC89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kern w:val="0"/>
                <w:sz w:val="28"/>
                <w:szCs w:val="28"/>
                <w:u w:val="none"/>
                <w:lang w:eastAsia="zh-CN" w:bidi="ar"/>
              </w:rPr>
            </w:pPr>
            <w:r>
              <w:rPr>
                <w:rFonts w:hint="eastAsia" w:ascii="仿宋_GB2312" w:hAnsi="仿宋_GB2312" w:eastAsia="仿宋_GB2312" w:cs="仿宋_GB2312"/>
                <w:color w:val="000000"/>
                <w:kern w:val="0"/>
                <w:sz w:val="28"/>
                <w:szCs w:val="28"/>
                <w:u w:val="none"/>
                <w:lang w:eastAsia="zh-CN" w:bidi="ar"/>
              </w:rPr>
              <w:t>境内指定装货地</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7A8089F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青岛/上海/天津等指定卸货地</w:t>
            </w:r>
          </w:p>
        </w:tc>
        <w:tc>
          <w:tcPr>
            <w:tcW w:w="1820" w:type="dxa"/>
            <w:tcBorders>
              <w:top w:val="single" w:color="auto" w:sz="4" w:space="0"/>
              <w:left w:val="single" w:color="auto" w:sz="4" w:space="0"/>
              <w:bottom w:val="single" w:color="auto" w:sz="4" w:space="0"/>
              <w:right w:val="single" w:color="auto" w:sz="4" w:space="0"/>
            </w:tcBorders>
            <w:noWrap/>
            <w:vAlign w:val="center"/>
          </w:tcPr>
          <w:p w14:paraId="4ED750A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kern w:val="0"/>
                <w:sz w:val="28"/>
                <w:szCs w:val="28"/>
                <w:highlight w:val="none"/>
                <w:u w:val="none"/>
                <w:lang w:val="en-US" w:eastAsia="zh-CN" w:bidi="ar"/>
              </w:rPr>
            </w:pPr>
            <w:r>
              <w:rPr>
                <w:rFonts w:hint="eastAsia" w:ascii="仿宋_GB2312" w:hAnsi="仿宋_GB2312" w:eastAsia="仿宋_GB2312" w:cs="仿宋_GB2312"/>
                <w:color w:val="000000"/>
                <w:kern w:val="0"/>
                <w:sz w:val="28"/>
                <w:szCs w:val="28"/>
                <w:highlight w:val="none"/>
                <w:u w:val="none"/>
                <w:lang w:val="en-US" w:eastAsia="zh-CN" w:bidi="ar"/>
              </w:rPr>
              <w:t>35000</w:t>
            </w:r>
          </w:p>
        </w:tc>
        <w:tc>
          <w:tcPr>
            <w:tcW w:w="1068" w:type="dxa"/>
            <w:tcBorders>
              <w:top w:val="single" w:color="auto" w:sz="4" w:space="0"/>
              <w:left w:val="single" w:color="auto" w:sz="4" w:space="0"/>
              <w:bottom w:val="single" w:color="auto" w:sz="4" w:space="0"/>
              <w:right w:val="single" w:color="auto" w:sz="4" w:space="0"/>
            </w:tcBorders>
            <w:noWrap/>
            <w:vAlign w:val="center"/>
          </w:tcPr>
          <w:p w14:paraId="3E840B1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kern w:val="0"/>
                <w:sz w:val="28"/>
                <w:szCs w:val="28"/>
                <w:u w:val="none"/>
                <w:lang w:bidi="ar"/>
              </w:rPr>
            </w:pPr>
            <w:r>
              <w:rPr>
                <w:rFonts w:hint="eastAsia" w:ascii="仿宋_GB2312" w:hAnsi="仿宋_GB2312" w:eastAsia="仿宋_GB2312" w:cs="仿宋_GB2312"/>
                <w:color w:val="000000"/>
                <w:kern w:val="0"/>
                <w:sz w:val="28"/>
                <w:szCs w:val="28"/>
                <w:u w:val="none"/>
                <w:lang w:bidi="ar"/>
              </w:rPr>
              <w:t>门到门</w:t>
            </w:r>
          </w:p>
        </w:tc>
      </w:tr>
    </w:tbl>
    <w:p w14:paraId="57863589">
      <w:pPr>
        <w:pStyle w:val="3"/>
        <w:keepNext w:val="0"/>
        <w:keepLines w:val="0"/>
        <w:pageBreakBefore w:val="0"/>
        <w:widowControl w:val="0"/>
        <w:kinsoku/>
        <w:wordWrap/>
        <w:overflowPunct/>
        <w:topLinePunct w:val="0"/>
        <w:autoSpaceDE/>
        <w:autoSpaceDN/>
        <w:bidi w:val="0"/>
        <w:adjustRightInd/>
        <w:snapToGrid/>
        <w:spacing w:before="0" w:line="560" w:lineRule="exact"/>
        <w:textAlignment w:val="auto"/>
        <w:rPr>
          <w:rFonts w:hint="eastAsia" w:ascii="仿宋_GB2312" w:hAnsi="仿宋_GB2312" w:eastAsia="仿宋_GB2312" w:cs="仿宋_GB2312"/>
          <w:sz w:val="32"/>
          <w:szCs w:val="32"/>
          <w:lang w:val="en-US" w:eastAsia="zh-CN"/>
        </w:rPr>
      </w:pPr>
    </w:p>
    <w:p w14:paraId="5C3E8018">
      <w:pPr>
        <w:pStyle w:val="3"/>
        <w:keepNext w:val="0"/>
        <w:keepLines w:val="0"/>
        <w:pageBreakBefore w:val="0"/>
        <w:widowControl w:val="0"/>
        <w:kinsoku/>
        <w:wordWrap/>
        <w:overflowPunct/>
        <w:topLinePunct w:val="0"/>
        <w:autoSpaceDE/>
        <w:autoSpaceDN/>
        <w:bidi w:val="0"/>
        <w:adjustRightInd/>
        <w:snapToGrid/>
        <w:spacing w:before="0"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注：1.国内段开具9%增值税专用发票，国外段0税。</w:t>
      </w:r>
    </w:p>
    <w:p w14:paraId="55538003">
      <w:pPr>
        <w:pStyle w:val="3"/>
        <w:keepNext w:val="0"/>
        <w:keepLines w:val="0"/>
        <w:pageBreakBefore w:val="0"/>
        <w:kinsoku/>
        <w:wordWrap/>
        <w:overflowPunct/>
        <w:topLinePunct w:val="0"/>
        <w:autoSpaceDE/>
        <w:autoSpaceDN/>
        <w:bidi w:val="0"/>
        <w:adjustRightInd/>
        <w:snapToGrid/>
        <w:spacing w:line="360" w:lineRule="auto"/>
        <w:ind w:firstLine="960" w:firstLineChars="30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highlight w:val="none"/>
          <w:lang w:val="en-US" w:eastAsia="zh-CN"/>
        </w:rPr>
        <w:t>2.中标单位需向我司缴纳50万元履约保证金。</w:t>
      </w:r>
    </w:p>
    <w:p w14:paraId="7B2731A6">
      <w:pPr>
        <w:pStyle w:val="3"/>
        <w:keepNext w:val="0"/>
        <w:keepLines w:val="0"/>
        <w:pageBreakBefore w:val="0"/>
        <w:widowControl w:val="0"/>
        <w:kinsoku/>
        <w:wordWrap/>
        <w:overflowPunct/>
        <w:topLinePunct w:val="0"/>
        <w:autoSpaceDE/>
        <w:autoSpaceDN/>
        <w:bidi w:val="0"/>
        <w:adjustRightInd/>
        <w:snapToGrid/>
        <w:spacing w:before="0"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3.执行过程中运价波</w:t>
      </w:r>
      <w:r>
        <w:rPr>
          <w:rFonts w:hint="eastAsia" w:ascii="仿宋_GB2312" w:hAnsi="仿宋_GB2312" w:eastAsia="仿宋_GB2312" w:cs="仿宋_GB2312"/>
          <w:sz w:val="32"/>
          <w:szCs w:val="32"/>
          <w:highlight w:val="none"/>
          <w:lang w:val="en-US" w:eastAsia="zh-CN"/>
        </w:rPr>
        <w:t>动±10%重新</w:t>
      </w:r>
      <w:r>
        <w:rPr>
          <w:rFonts w:hint="eastAsia" w:ascii="仿宋_GB2312" w:hAnsi="仿宋_GB2312" w:eastAsia="仿宋_GB2312" w:cs="仿宋_GB2312"/>
          <w:sz w:val="32"/>
          <w:szCs w:val="32"/>
          <w:lang w:val="en-US" w:eastAsia="zh-CN"/>
        </w:rPr>
        <w:t>议价。</w:t>
      </w:r>
    </w:p>
    <w:p w14:paraId="6C239116">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九、请提供一下2024年以下几条线路的运量及加权平均的运价（没有可不提供）</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359"/>
        <w:gridCol w:w="1365"/>
        <w:gridCol w:w="1114"/>
        <w:gridCol w:w="1420"/>
        <w:gridCol w:w="1420"/>
      </w:tblGrid>
      <w:tr w14:paraId="5680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16701467">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359" w:type="dxa"/>
          </w:tcPr>
          <w:p w14:paraId="462200BA">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线路</w:t>
            </w:r>
          </w:p>
        </w:tc>
        <w:tc>
          <w:tcPr>
            <w:tcW w:w="1365" w:type="dxa"/>
          </w:tcPr>
          <w:p w14:paraId="318D09E0">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运量</w:t>
            </w:r>
          </w:p>
        </w:tc>
        <w:tc>
          <w:tcPr>
            <w:tcW w:w="1114" w:type="dxa"/>
          </w:tcPr>
          <w:p w14:paraId="0C39624C">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运输方式</w:t>
            </w:r>
          </w:p>
        </w:tc>
        <w:tc>
          <w:tcPr>
            <w:tcW w:w="1420" w:type="dxa"/>
          </w:tcPr>
          <w:p w14:paraId="4C75E24F">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加权平均运价</w:t>
            </w:r>
          </w:p>
        </w:tc>
        <w:tc>
          <w:tcPr>
            <w:tcW w:w="1420" w:type="dxa"/>
          </w:tcPr>
          <w:p w14:paraId="495AB791">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14:paraId="3119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7EE9EF23">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359" w:type="dxa"/>
          </w:tcPr>
          <w:p w14:paraId="05A1752E">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版纳勐腊区域-青岛区域仓库</w:t>
            </w:r>
          </w:p>
        </w:tc>
        <w:tc>
          <w:tcPr>
            <w:tcW w:w="1365" w:type="dxa"/>
          </w:tcPr>
          <w:p w14:paraId="4B904ED2">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114" w:type="dxa"/>
          </w:tcPr>
          <w:p w14:paraId="6C372BC6">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57104472">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2241161A">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r>
      <w:tr w14:paraId="59B8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5399181A">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359" w:type="dxa"/>
          </w:tcPr>
          <w:p w14:paraId="38F9F96C">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版纳工厂-四川简阳</w:t>
            </w:r>
          </w:p>
        </w:tc>
        <w:tc>
          <w:tcPr>
            <w:tcW w:w="1365" w:type="dxa"/>
          </w:tcPr>
          <w:p w14:paraId="09D10970">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114" w:type="dxa"/>
          </w:tcPr>
          <w:p w14:paraId="499EE494">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1305F81B">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516D83AB">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r>
      <w:tr w14:paraId="7B27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2467AAA4">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p w14:paraId="61ADBF39">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359" w:type="dxa"/>
          </w:tcPr>
          <w:p w14:paraId="5766B4C3">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昆明仓库-厦门海沧区或其他区</w:t>
            </w:r>
          </w:p>
        </w:tc>
        <w:tc>
          <w:tcPr>
            <w:tcW w:w="1365" w:type="dxa"/>
          </w:tcPr>
          <w:p w14:paraId="04FCD798">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114" w:type="dxa"/>
          </w:tcPr>
          <w:p w14:paraId="041D1160">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2C89A383">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4EC82A60">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r>
      <w:tr w14:paraId="7C7C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18763B45">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359" w:type="dxa"/>
          </w:tcPr>
          <w:p w14:paraId="61390E5C">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境外南塔区域-版纳库</w:t>
            </w:r>
          </w:p>
        </w:tc>
        <w:tc>
          <w:tcPr>
            <w:tcW w:w="1365" w:type="dxa"/>
          </w:tcPr>
          <w:p w14:paraId="67865321">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114" w:type="dxa"/>
          </w:tcPr>
          <w:p w14:paraId="3071A50C">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14A9DB44">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14215367">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r>
      <w:tr w14:paraId="70DC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42A8102C">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2359" w:type="dxa"/>
          </w:tcPr>
          <w:p w14:paraId="26EBDA1A">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境外万象区域-版纳库</w:t>
            </w:r>
          </w:p>
        </w:tc>
        <w:tc>
          <w:tcPr>
            <w:tcW w:w="1365" w:type="dxa"/>
          </w:tcPr>
          <w:p w14:paraId="669892ED">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114" w:type="dxa"/>
          </w:tcPr>
          <w:p w14:paraId="16447601">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661CC19D">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1A6EE562">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r>
      <w:tr w14:paraId="505A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4AF091B3">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2359" w:type="dxa"/>
          </w:tcPr>
          <w:p w14:paraId="411BA51D">
            <w:pPr>
              <w:pStyle w:val="3"/>
              <w:keepNext w:val="0"/>
              <w:keepLines w:val="0"/>
              <w:pageBreakBefore w:val="0"/>
              <w:kinsoku/>
              <w:wordWrap/>
              <w:overflowPunct/>
              <w:topLinePunct w:val="0"/>
              <w:autoSpaceDE/>
              <w:autoSpaceDN/>
              <w:bidi w:val="0"/>
              <w:adjustRightInd/>
              <w:snapToGrid/>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境外甘蒙区域-版纳库</w:t>
            </w:r>
          </w:p>
        </w:tc>
        <w:tc>
          <w:tcPr>
            <w:tcW w:w="1365" w:type="dxa"/>
          </w:tcPr>
          <w:p w14:paraId="4F741BBE">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114" w:type="dxa"/>
          </w:tcPr>
          <w:p w14:paraId="5222B6C4">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737AC4EC">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c>
          <w:tcPr>
            <w:tcW w:w="1420" w:type="dxa"/>
          </w:tcPr>
          <w:p w14:paraId="55526F37">
            <w:pPr>
              <w:pStyle w:val="3"/>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sz w:val="32"/>
                <w:szCs w:val="32"/>
                <w:vertAlign w:val="baseline"/>
                <w:lang w:val="en-US" w:eastAsia="zh-CN"/>
              </w:rPr>
            </w:pPr>
          </w:p>
        </w:tc>
      </w:tr>
    </w:tbl>
    <w:p w14:paraId="3B585B21">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p>
    <w:p w14:paraId="11EE2904">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bookmarkStart w:id="1" w:name="_GoBack"/>
      <w:bookmarkEnd w:id="1"/>
    </w:p>
    <w:p w14:paraId="2B58D96F">
      <w:pPr>
        <w:pStyle w:val="4"/>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outlineLvl w:val="0"/>
        <w:rPr>
          <w:rFonts w:hint="eastAsia" w:ascii="方正小标宋简体" w:hAnsi="方正小标宋简体" w:eastAsia="方正小标宋简体" w:cs="方正小标宋简体"/>
          <w:b w:val="0"/>
          <w:bCs/>
          <w:color w:val="000000"/>
          <w:sz w:val="44"/>
          <w:szCs w:val="44"/>
          <w:highlight w:val="none"/>
        </w:rPr>
      </w:pPr>
      <w:bookmarkStart w:id="0" w:name="_Toc15514"/>
      <w:r>
        <w:rPr>
          <w:rFonts w:hint="eastAsia" w:ascii="方正小标宋简体" w:hAnsi="方正小标宋简体" w:eastAsia="方正小标宋简体" w:cs="方正小标宋简体"/>
          <w:b w:val="0"/>
          <w:bCs/>
          <w:color w:val="000000"/>
          <w:sz w:val="44"/>
          <w:szCs w:val="44"/>
          <w:highlight w:val="none"/>
        </w:rPr>
        <w:t>在经营活动中没有重大违法记录声明书</w:t>
      </w:r>
      <w:bookmarkEnd w:id="0"/>
    </w:p>
    <w:p w14:paraId="07F553B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color w:val="000000"/>
          <w:sz w:val="32"/>
          <w:szCs w:val="32"/>
          <w:highlight w:val="none"/>
        </w:rPr>
      </w:pPr>
    </w:p>
    <w:p w14:paraId="513CB7B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u w:val="single"/>
        </w:rPr>
        <w:t>（</w:t>
      </w:r>
      <w:r>
        <w:rPr>
          <w:rFonts w:hint="eastAsia" w:ascii="仿宋_GB2312" w:hAnsi="仿宋_GB2312" w:eastAsia="仿宋_GB2312" w:cs="仿宋_GB2312"/>
          <w:b w:val="0"/>
          <w:bCs w:val="0"/>
          <w:color w:val="000000"/>
          <w:sz w:val="32"/>
          <w:szCs w:val="32"/>
          <w:highlight w:val="none"/>
          <w:u w:val="single"/>
          <w:lang w:eastAsia="zh-CN"/>
        </w:rPr>
        <w:t>招标人</w:t>
      </w:r>
      <w:r>
        <w:rPr>
          <w:rFonts w:hint="eastAsia" w:ascii="仿宋_GB2312" w:hAnsi="仿宋_GB2312" w:eastAsia="仿宋_GB2312" w:cs="仿宋_GB2312"/>
          <w:b w:val="0"/>
          <w:bCs w:val="0"/>
          <w:color w:val="000000"/>
          <w:sz w:val="32"/>
          <w:szCs w:val="32"/>
          <w:highlight w:val="none"/>
          <w:u w:val="single"/>
        </w:rPr>
        <w:t>名称）</w:t>
      </w:r>
      <w:r>
        <w:rPr>
          <w:rFonts w:hint="eastAsia" w:ascii="仿宋_GB2312" w:hAnsi="仿宋_GB2312" w:eastAsia="仿宋_GB2312" w:cs="仿宋_GB2312"/>
          <w:b w:val="0"/>
          <w:bCs w:val="0"/>
          <w:color w:val="000000"/>
          <w:sz w:val="32"/>
          <w:szCs w:val="32"/>
          <w:highlight w:val="none"/>
        </w:rPr>
        <w:t>：</w:t>
      </w:r>
    </w:p>
    <w:p w14:paraId="650509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我方在此声明，我方参加</w:t>
      </w:r>
      <w:r>
        <w:rPr>
          <w:rFonts w:hint="eastAsia" w:ascii="仿宋_GB2312" w:hAnsi="仿宋_GB2312" w:eastAsia="仿宋_GB2312" w:cs="仿宋_GB2312"/>
          <w:color w:val="000000"/>
          <w:sz w:val="32"/>
          <w:szCs w:val="32"/>
          <w:highlight w:val="none"/>
          <w:u w:val="single"/>
        </w:rPr>
        <w:t>（项目名称）</w:t>
      </w:r>
      <w:r>
        <w:rPr>
          <w:rFonts w:hint="eastAsia" w:ascii="仿宋_GB2312" w:hAnsi="仿宋_GB2312" w:eastAsia="仿宋_GB2312" w:cs="仿宋_GB2312"/>
          <w:color w:val="000000"/>
          <w:sz w:val="32"/>
          <w:szCs w:val="32"/>
          <w:highlight w:val="none"/>
        </w:rPr>
        <w:t>三年内，在经营活动中没有重大违法记录</w:t>
      </w:r>
      <w:r>
        <w:rPr>
          <w:rFonts w:hint="eastAsia" w:ascii="仿宋_GB2312" w:hAnsi="仿宋_GB2312" w:eastAsia="仿宋_GB2312" w:cs="仿宋_GB2312"/>
          <w:bCs/>
          <w:color w:val="000000"/>
          <w:kern w:val="1"/>
          <w:sz w:val="32"/>
          <w:szCs w:val="32"/>
          <w:highlight w:val="none"/>
        </w:rPr>
        <w:t>（重大违法记录是指</w:t>
      </w:r>
      <w:r>
        <w:rPr>
          <w:rFonts w:hint="eastAsia" w:ascii="仿宋_GB2312" w:hAnsi="仿宋_GB2312" w:eastAsia="仿宋_GB2312" w:cs="仿宋_GB2312"/>
          <w:bCs/>
          <w:color w:val="000000"/>
          <w:kern w:val="1"/>
          <w:sz w:val="32"/>
          <w:szCs w:val="32"/>
          <w:highlight w:val="none"/>
          <w:lang w:val="en-US" w:eastAsia="zh-CN"/>
        </w:rPr>
        <w:t>供应商</w:t>
      </w:r>
      <w:r>
        <w:rPr>
          <w:rFonts w:hint="eastAsia" w:ascii="仿宋_GB2312" w:hAnsi="仿宋_GB2312" w:eastAsia="仿宋_GB2312" w:cs="仿宋_GB2312"/>
          <w:bCs/>
          <w:color w:val="000000"/>
          <w:kern w:val="1"/>
          <w:sz w:val="32"/>
          <w:szCs w:val="32"/>
          <w:highlight w:val="none"/>
        </w:rPr>
        <w:t>因违法经营受到刑事处罚或者责令停产停业、吊销许可证或者执照、较大数额罚款等行政处罚）</w:t>
      </w:r>
      <w:r>
        <w:rPr>
          <w:rFonts w:hint="eastAsia" w:ascii="仿宋_GB2312" w:hAnsi="仿宋_GB2312" w:eastAsia="仿宋_GB2312" w:cs="仿宋_GB2312"/>
          <w:color w:val="000000"/>
          <w:sz w:val="32"/>
          <w:szCs w:val="32"/>
          <w:highlight w:val="none"/>
        </w:rPr>
        <w:t>。</w:t>
      </w:r>
    </w:p>
    <w:p w14:paraId="301C0D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我方保证上述信息的真实和准确，并愿意承担因我方就此弄虚作假所引起的一切法律后果。</w:t>
      </w:r>
    </w:p>
    <w:p w14:paraId="60010A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特此声明</w:t>
      </w:r>
      <w:r>
        <w:rPr>
          <w:rFonts w:hint="eastAsia" w:ascii="仿宋_GB2312" w:hAnsi="仿宋_GB2312" w:eastAsia="仿宋_GB2312" w:cs="仿宋_GB2312"/>
          <w:color w:val="000000"/>
          <w:sz w:val="32"/>
          <w:szCs w:val="32"/>
          <w:highlight w:val="none"/>
          <w:lang w:eastAsia="zh-CN"/>
        </w:rPr>
        <w:t>。</w:t>
      </w:r>
    </w:p>
    <w:p w14:paraId="16CE9D6C">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000000"/>
          <w:sz w:val="32"/>
          <w:szCs w:val="32"/>
          <w:highlight w:val="none"/>
        </w:rPr>
      </w:pPr>
    </w:p>
    <w:p w14:paraId="426BE284">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000000"/>
          <w:sz w:val="32"/>
          <w:szCs w:val="32"/>
          <w:highlight w:val="none"/>
        </w:rPr>
      </w:pPr>
    </w:p>
    <w:p w14:paraId="0318380D">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000000"/>
          <w:sz w:val="32"/>
          <w:szCs w:val="32"/>
          <w:highlight w:val="none"/>
        </w:rPr>
      </w:pPr>
    </w:p>
    <w:p w14:paraId="4EFA36A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u w:val="single"/>
        </w:rPr>
      </w:pPr>
      <w:r>
        <w:rPr>
          <w:rFonts w:hint="eastAsia" w:ascii="仿宋_GB2312" w:hAnsi="仿宋_GB2312" w:eastAsia="仿宋_GB2312" w:cs="仿宋_GB2312"/>
          <w:b w:val="0"/>
          <w:bCs w:val="0"/>
          <w:color w:val="000000"/>
          <w:sz w:val="32"/>
          <w:szCs w:val="32"/>
          <w:lang w:eastAsia="zh-CN"/>
        </w:rPr>
        <w:t>竞标单位</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公章</w:t>
      </w:r>
      <w:r>
        <w:rPr>
          <w:rFonts w:hint="eastAsia" w:ascii="仿宋_GB2312" w:hAnsi="仿宋_GB2312" w:eastAsia="仿宋_GB2312" w:cs="仿宋_GB2312"/>
          <w:b w:val="0"/>
          <w:bCs w:val="0"/>
          <w:color w:val="000000"/>
          <w:sz w:val="32"/>
          <w:szCs w:val="32"/>
        </w:rPr>
        <w:t>）</w:t>
      </w:r>
    </w:p>
    <w:p w14:paraId="2C74AC4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000000"/>
          <w:sz w:val="32"/>
          <w:szCs w:val="32"/>
          <w:u w:val="single"/>
        </w:rPr>
      </w:pPr>
      <w:r>
        <w:rPr>
          <w:rFonts w:hint="eastAsia" w:ascii="仿宋_GB2312" w:hAnsi="仿宋_GB2312" w:eastAsia="仿宋_GB2312" w:cs="仿宋_GB2312"/>
          <w:b w:val="0"/>
          <w:bCs w:val="0"/>
          <w:color w:val="000000"/>
          <w:sz w:val="32"/>
          <w:szCs w:val="32"/>
        </w:rPr>
        <w:t>法定代表人或委托代理人：</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rPr>
        <w:t>（签字或盖章）</w:t>
      </w:r>
    </w:p>
    <w:p w14:paraId="32846314">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rPr>
        <w:t>日期：</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rPr>
        <w:t>日</w:t>
      </w:r>
    </w:p>
    <w:p w14:paraId="569ED2F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E9563C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9FC4418">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p>
    <w:p w14:paraId="06A93A10">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p>
    <w:p w14:paraId="45FF21F9">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p>
    <w:p w14:paraId="0E19382E">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p>
    <w:p w14:paraId="1C073AA6">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p>
    <w:p w14:paraId="2834C22F">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tbl>
      <w:tblPr>
        <w:tblStyle w:val="8"/>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24"/>
        <w:gridCol w:w="4020"/>
        <w:gridCol w:w="1456"/>
        <w:gridCol w:w="1461"/>
      </w:tblGrid>
      <w:tr w14:paraId="2A18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151" w:type="dxa"/>
            <w:gridSpan w:val="5"/>
            <w:vAlign w:val="center"/>
          </w:tcPr>
          <w:p w14:paraId="504569C4">
            <w:pPr>
              <w:pStyle w:val="3"/>
              <w:keepNext w:val="0"/>
              <w:keepLines w:val="0"/>
              <w:pageBreakBefore w:val="0"/>
              <w:widowControl w:val="0"/>
              <w:kinsoku/>
              <w:wordWrap/>
              <w:overflowPunct/>
              <w:topLinePunct w:val="0"/>
              <w:autoSpaceDE/>
              <w:autoSpaceDN/>
              <w:bidi w:val="0"/>
              <w:adjustRightInd/>
              <w:snapToGrid/>
              <w:spacing w:line="400" w:lineRule="exact"/>
              <w:ind w:left="-619" w:leftChars="-295"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40"/>
                <w:szCs w:val="40"/>
                <w:vertAlign w:val="baseline"/>
                <w:lang w:val="en-US" w:eastAsia="zh-CN"/>
              </w:rPr>
              <w:t>运输招标评分表</w:t>
            </w:r>
          </w:p>
        </w:tc>
      </w:tr>
      <w:tr w14:paraId="1CB9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234" w:type="dxa"/>
            <w:gridSpan w:val="3"/>
          </w:tcPr>
          <w:p w14:paraId="22B0E07B">
            <w:pPr>
              <w:pStyle w:val="3"/>
              <w:keepNext w:val="0"/>
              <w:keepLines w:val="0"/>
              <w:pageBreakBefore w:val="0"/>
              <w:widowControl w:val="0"/>
              <w:kinsoku/>
              <w:wordWrap/>
              <w:overflowPunct/>
              <w:topLinePunct w:val="0"/>
              <w:autoSpaceDE/>
              <w:autoSpaceDN/>
              <w:bidi w:val="0"/>
              <w:adjustRightInd/>
              <w:snapToGrid/>
              <w:spacing w:line="400" w:lineRule="exact"/>
              <w:ind w:left="-619" w:leftChars="-295" w:firstLine="0" w:firstLineChars="0"/>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公司名称:</w:t>
            </w:r>
          </w:p>
        </w:tc>
        <w:tc>
          <w:tcPr>
            <w:tcW w:w="1456" w:type="dxa"/>
          </w:tcPr>
          <w:p w14:paraId="3680F312">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评估得分</w:t>
            </w:r>
          </w:p>
        </w:tc>
        <w:tc>
          <w:tcPr>
            <w:tcW w:w="1461" w:type="dxa"/>
          </w:tcPr>
          <w:p w14:paraId="44BA1A39">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评分人:</w:t>
            </w:r>
          </w:p>
        </w:tc>
      </w:tr>
      <w:tr w14:paraId="49AC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14:paraId="035039F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424" w:type="dxa"/>
          </w:tcPr>
          <w:p w14:paraId="53F8317C">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评估项目</w:t>
            </w:r>
          </w:p>
        </w:tc>
        <w:tc>
          <w:tcPr>
            <w:tcW w:w="4020" w:type="dxa"/>
          </w:tcPr>
          <w:p w14:paraId="756AFB0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评估标准</w:t>
            </w:r>
          </w:p>
        </w:tc>
        <w:tc>
          <w:tcPr>
            <w:tcW w:w="1456" w:type="dxa"/>
          </w:tcPr>
          <w:p w14:paraId="3A0F865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打分</w:t>
            </w:r>
          </w:p>
        </w:tc>
        <w:tc>
          <w:tcPr>
            <w:tcW w:w="1461" w:type="dxa"/>
          </w:tcPr>
          <w:p w14:paraId="0143A92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备注</w:t>
            </w:r>
          </w:p>
        </w:tc>
      </w:tr>
      <w:tr w14:paraId="79F2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vAlign w:val="center"/>
          </w:tcPr>
          <w:p w14:paraId="13D4772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424" w:type="dxa"/>
            <w:vMerge w:val="restart"/>
            <w:vAlign w:val="center"/>
          </w:tcPr>
          <w:p w14:paraId="1E1D8677">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企业性质</w:t>
            </w:r>
          </w:p>
        </w:tc>
        <w:tc>
          <w:tcPr>
            <w:tcW w:w="4020" w:type="dxa"/>
          </w:tcPr>
          <w:p w14:paraId="0AC25FB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1.私营/集体企业，独立法人(5分)</w:t>
            </w:r>
          </w:p>
        </w:tc>
        <w:tc>
          <w:tcPr>
            <w:tcW w:w="1456" w:type="dxa"/>
            <w:vMerge w:val="restart"/>
          </w:tcPr>
          <w:p w14:paraId="57BA876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restart"/>
            <w:vAlign w:val="center"/>
          </w:tcPr>
          <w:p w14:paraId="48A03F1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营业执照</w:t>
            </w:r>
          </w:p>
        </w:tc>
      </w:tr>
      <w:tr w14:paraId="6432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Pr>
          <w:p w14:paraId="6C7B11FC">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24" w:type="dxa"/>
            <w:vMerge w:val="continue"/>
          </w:tcPr>
          <w:p w14:paraId="6FE9A42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4020" w:type="dxa"/>
          </w:tcPr>
          <w:p w14:paraId="5814392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2.上市公司/国有独资企业/外资/战略合作伙伴/国际著名物流企业独资或控股(10分)</w:t>
            </w:r>
          </w:p>
        </w:tc>
        <w:tc>
          <w:tcPr>
            <w:tcW w:w="1456" w:type="dxa"/>
            <w:vMerge w:val="continue"/>
          </w:tcPr>
          <w:p w14:paraId="16DA6D7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tcPr>
          <w:p w14:paraId="16738AD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r>
      <w:tr w14:paraId="5210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0" w:type="dxa"/>
            <w:vMerge w:val="restart"/>
            <w:vAlign w:val="center"/>
          </w:tcPr>
          <w:p w14:paraId="5DA36F7D">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424" w:type="dxa"/>
            <w:vMerge w:val="restart"/>
            <w:shd w:val="clear" w:color="auto" w:fill="auto"/>
            <w:vAlign w:val="center"/>
          </w:tcPr>
          <w:p w14:paraId="215E59D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营业年限(年)</w:t>
            </w:r>
          </w:p>
        </w:tc>
        <w:tc>
          <w:tcPr>
            <w:tcW w:w="4020" w:type="dxa"/>
            <w:shd w:val="clear" w:color="auto" w:fill="auto"/>
            <w:vAlign w:val="top"/>
          </w:tcPr>
          <w:p w14:paraId="30C6EE8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1.小于2(0分）</w:t>
            </w:r>
          </w:p>
        </w:tc>
        <w:tc>
          <w:tcPr>
            <w:tcW w:w="1456" w:type="dxa"/>
            <w:vMerge w:val="restart"/>
          </w:tcPr>
          <w:p w14:paraId="3B79FF06">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677A200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14:paraId="3B70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0" w:type="dxa"/>
            <w:vMerge w:val="continue"/>
            <w:vAlign w:val="center"/>
          </w:tcPr>
          <w:p w14:paraId="29AFE34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424" w:type="dxa"/>
            <w:vMerge w:val="continue"/>
            <w:vAlign w:val="center"/>
          </w:tcPr>
          <w:p w14:paraId="3284A0F0">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p>
        </w:tc>
        <w:tc>
          <w:tcPr>
            <w:tcW w:w="4020" w:type="dxa"/>
            <w:shd w:val="clear" w:color="auto" w:fill="auto"/>
            <w:vAlign w:val="top"/>
          </w:tcPr>
          <w:p w14:paraId="3C5E8F5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2.2(含)-5(1分)</w:t>
            </w:r>
          </w:p>
        </w:tc>
        <w:tc>
          <w:tcPr>
            <w:tcW w:w="1456" w:type="dxa"/>
            <w:vMerge w:val="continue"/>
          </w:tcPr>
          <w:p w14:paraId="2A2F70A3">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7ABF790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14:paraId="2568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0" w:type="dxa"/>
            <w:vMerge w:val="continue"/>
            <w:vAlign w:val="center"/>
          </w:tcPr>
          <w:p w14:paraId="2813BFC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424" w:type="dxa"/>
            <w:vMerge w:val="continue"/>
            <w:vAlign w:val="center"/>
          </w:tcPr>
          <w:p w14:paraId="79A12319">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p>
        </w:tc>
        <w:tc>
          <w:tcPr>
            <w:tcW w:w="4020" w:type="dxa"/>
            <w:shd w:val="clear" w:color="auto" w:fill="auto"/>
            <w:vAlign w:val="top"/>
          </w:tcPr>
          <w:p w14:paraId="2684E78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3.5(含)-8(2分)</w:t>
            </w:r>
          </w:p>
        </w:tc>
        <w:tc>
          <w:tcPr>
            <w:tcW w:w="1456" w:type="dxa"/>
            <w:vMerge w:val="continue"/>
          </w:tcPr>
          <w:p w14:paraId="1C48E10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2681F7B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14:paraId="18E3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0" w:type="dxa"/>
            <w:vMerge w:val="continue"/>
            <w:vAlign w:val="center"/>
          </w:tcPr>
          <w:p w14:paraId="7D90F4D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424" w:type="dxa"/>
            <w:vMerge w:val="continue"/>
            <w:vAlign w:val="center"/>
          </w:tcPr>
          <w:p w14:paraId="2A804A4D">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p>
        </w:tc>
        <w:tc>
          <w:tcPr>
            <w:tcW w:w="4020" w:type="dxa"/>
            <w:shd w:val="clear" w:color="auto" w:fill="auto"/>
            <w:vAlign w:val="top"/>
          </w:tcPr>
          <w:p w14:paraId="19A9772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4.8(含)-10(3分)</w:t>
            </w:r>
          </w:p>
        </w:tc>
        <w:tc>
          <w:tcPr>
            <w:tcW w:w="1456" w:type="dxa"/>
            <w:vMerge w:val="continue"/>
          </w:tcPr>
          <w:p w14:paraId="2DCC705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689A055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14:paraId="56F3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0" w:type="dxa"/>
            <w:vMerge w:val="continue"/>
            <w:vAlign w:val="center"/>
          </w:tcPr>
          <w:p w14:paraId="01CD52BD">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424" w:type="dxa"/>
            <w:vMerge w:val="continue"/>
            <w:vAlign w:val="center"/>
          </w:tcPr>
          <w:p w14:paraId="79A59FA5">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p>
        </w:tc>
        <w:tc>
          <w:tcPr>
            <w:tcW w:w="4020" w:type="dxa"/>
            <w:shd w:val="clear" w:color="auto" w:fill="auto"/>
            <w:vAlign w:val="top"/>
          </w:tcPr>
          <w:p w14:paraId="04F8DC2C">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5.10(含)以上(5分)</w:t>
            </w:r>
          </w:p>
        </w:tc>
        <w:tc>
          <w:tcPr>
            <w:tcW w:w="1456" w:type="dxa"/>
            <w:vMerge w:val="continue"/>
          </w:tcPr>
          <w:p w14:paraId="756276D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470794D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14:paraId="0B7A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0" w:type="dxa"/>
            <w:vMerge w:val="restart"/>
            <w:vAlign w:val="center"/>
          </w:tcPr>
          <w:p w14:paraId="245B93B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424" w:type="dxa"/>
            <w:vMerge w:val="restart"/>
            <w:vAlign w:val="center"/>
          </w:tcPr>
          <w:p w14:paraId="2D480405">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red"/>
                <w:vertAlign w:val="baseline"/>
                <w:lang w:val="en-US" w:eastAsia="zh-CN"/>
              </w:rPr>
            </w:pPr>
            <w:r>
              <w:rPr>
                <w:rFonts w:hint="eastAsia" w:ascii="仿宋_GB2312" w:hAnsi="仿宋_GB2312" w:eastAsia="仿宋_GB2312" w:cs="仿宋_GB2312"/>
                <w:sz w:val="28"/>
                <w:szCs w:val="28"/>
                <w:highlight w:val="none"/>
                <w:vertAlign w:val="baseline"/>
                <w:lang w:val="en-US" w:eastAsia="zh-CN"/>
              </w:rPr>
              <w:t>实缴资本(万元》</w:t>
            </w:r>
          </w:p>
        </w:tc>
        <w:tc>
          <w:tcPr>
            <w:tcW w:w="4020" w:type="dxa"/>
            <w:shd w:val="clear" w:color="auto" w:fill="auto"/>
            <w:vAlign w:val="top"/>
          </w:tcPr>
          <w:p w14:paraId="41927393">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1.100(含)-300(1分)</w:t>
            </w:r>
          </w:p>
        </w:tc>
        <w:tc>
          <w:tcPr>
            <w:tcW w:w="1456" w:type="dxa"/>
            <w:vMerge w:val="restart"/>
          </w:tcPr>
          <w:p w14:paraId="6E6026CC">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restart"/>
            <w:vAlign w:val="center"/>
          </w:tcPr>
          <w:p w14:paraId="610BA33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3D98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Pr>
          <w:p w14:paraId="17FE40F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24" w:type="dxa"/>
            <w:vMerge w:val="continue"/>
          </w:tcPr>
          <w:p w14:paraId="2E317D4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4020" w:type="dxa"/>
            <w:shd w:val="clear" w:color="auto" w:fill="auto"/>
            <w:vAlign w:val="top"/>
          </w:tcPr>
          <w:p w14:paraId="67F2957D">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2.300(含)-500(2分)</w:t>
            </w:r>
          </w:p>
        </w:tc>
        <w:tc>
          <w:tcPr>
            <w:tcW w:w="1456" w:type="dxa"/>
            <w:vMerge w:val="continue"/>
          </w:tcPr>
          <w:p w14:paraId="5847D5C4">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27F2125C">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14:paraId="6661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Pr>
          <w:p w14:paraId="034A2FA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24" w:type="dxa"/>
            <w:vMerge w:val="continue"/>
          </w:tcPr>
          <w:p w14:paraId="5427827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4020" w:type="dxa"/>
            <w:shd w:val="clear" w:color="auto" w:fill="auto"/>
            <w:vAlign w:val="top"/>
          </w:tcPr>
          <w:p w14:paraId="6466533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3.500(含)-1000(含)(3分)</w:t>
            </w:r>
          </w:p>
        </w:tc>
        <w:tc>
          <w:tcPr>
            <w:tcW w:w="1456" w:type="dxa"/>
            <w:vMerge w:val="continue"/>
          </w:tcPr>
          <w:p w14:paraId="6D3DFC0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3822D663">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14:paraId="7E27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Pr>
          <w:p w14:paraId="3EE7F6E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24" w:type="dxa"/>
            <w:vMerge w:val="continue"/>
          </w:tcPr>
          <w:p w14:paraId="28DAAA76">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4020" w:type="dxa"/>
            <w:shd w:val="clear" w:color="auto" w:fill="auto"/>
            <w:vAlign w:val="top"/>
          </w:tcPr>
          <w:p w14:paraId="27EFA11D">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4.1000以上(5分)</w:t>
            </w:r>
          </w:p>
        </w:tc>
        <w:tc>
          <w:tcPr>
            <w:tcW w:w="1456" w:type="dxa"/>
            <w:vMerge w:val="continue"/>
          </w:tcPr>
          <w:p w14:paraId="4F2A40C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52479D7D">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14:paraId="5656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90" w:type="dxa"/>
            <w:vMerge w:val="restart"/>
            <w:vAlign w:val="center"/>
          </w:tcPr>
          <w:p w14:paraId="03D2D87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424" w:type="dxa"/>
            <w:vMerge w:val="restart"/>
            <w:vAlign w:val="center"/>
          </w:tcPr>
          <w:p w14:paraId="6864C3E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依法纳税记录</w:t>
            </w:r>
          </w:p>
        </w:tc>
        <w:tc>
          <w:tcPr>
            <w:tcW w:w="4020" w:type="dxa"/>
            <w:vAlign w:val="center"/>
          </w:tcPr>
          <w:p w14:paraId="36113273">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1.无（0分）</w:t>
            </w:r>
          </w:p>
        </w:tc>
        <w:tc>
          <w:tcPr>
            <w:tcW w:w="1456" w:type="dxa"/>
            <w:vMerge w:val="restart"/>
          </w:tcPr>
          <w:p w14:paraId="654490A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restart"/>
            <w:vAlign w:val="center"/>
          </w:tcPr>
          <w:p w14:paraId="26B59EB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bidi="ar"/>
              </w:rPr>
              <w:t>提供2023-2024年度纳税证明</w:t>
            </w:r>
          </w:p>
        </w:tc>
      </w:tr>
      <w:tr w14:paraId="493B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1FBE0AA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424" w:type="dxa"/>
            <w:vMerge w:val="continue"/>
            <w:vAlign w:val="center"/>
          </w:tcPr>
          <w:p w14:paraId="0F52C00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020" w:type="dxa"/>
            <w:vAlign w:val="center"/>
          </w:tcPr>
          <w:p w14:paraId="5FD26D6F">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2.有（5分）</w:t>
            </w:r>
          </w:p>
        </w:tc>
        <w:tc>
          <w:tcPr>
            <w:tcW w:w="1456" w:type="dxa"/>
            <w:vMerge w:val="continue"/>
          </w:tcPr>
          <w:p w14:paraId="1C26C9C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3BA3967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14:paraId="4116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vAlign w:val="center"/>
          </w:tcPr>
          <w:p w14:paraId="658E038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424" w:type="dxa"/>
            <w:vMerge w:val="restart"/>
            <w:vAlign w:val="center"/>
          </w:tcPr>
          <w:p w14:paraId="23871FC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经营资质</w:t>
            </w:r>
          </w:p>
        </w:tc>
        <w:tc>
          <w:tcPr>
            <w:tcW w:w="4020" w:type="dxa"/>
          </w:tcPr>
          <w:p w14:paraId="67AE18E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1.国内</w:t>
            </w:r>
            <w:r>
              <w:rPr>
                <w:rFonts w:hint="eastAsia" w:ascii="仿宋_GB2312" w:hAnsi="仿宋_GB2312" w:eastAsia="仿宋_GB2312" w:cs="仿宋_GB2312"/>
                <w:i w:val="0"/>
                <w:iCs w:val="0"/>
                <w:color w:val="000000"/>
                <w:kern w:val="0"/>
                <w:sz w:val="28"/>
                <w:szCs w:val="28"/>
                <w:u w:val="none"/>
                <w:lang w:val="en-US" w:eastAsia="zh-CN" w:bidi="ar"/>
              </w:rPr>
              <w:t>道路运输经营许可证/国际道路运输经营许可证</w:t>
            </w:r>
            <w:r>
              <w:rPr>
                <w:rFonts w:hint="eastAsia" w:ascii="仿宋_GB2312" w:hAnsi="仿宋_GB2312" w:eastAsia="仿宋_GB2312" w:cs="仿宋_GB2312"/>
                <w:sz w:val="28"/>
                <w:szCs w:val="28"/>
                <w:vertAlign w:val="baseline"/>
                <w:lang w:val="en-US" w:eastAsia="zh-CN"/>
              </w:rPr>
              <w:t>(2分)</w:t>
            </w:r>
          </w:p>
        </w:tc>
        <w:tc>
          <w:tcPr>
            <w:tcW w:w="1456" w:type="dxa"/>
            <w:vMerge w:val="restart"/>
          </w:tcPr>
          <w:p w14:paraId="2204014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restart"/>
            <w:vAlign w:val="center"/>
          </w:tcPr>
          <w:p w14:paraId="693BFA2D">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资质证明</w:t>
            </w:r>
          </w:p>
        </w:tc>
      </w:tr>
      <w:tr w14:paraId="4742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Pr>
          <w:p w14:paraId="3F1893B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24" w:type="dxa"/>
            <w:vMerge w:val="continue"/>
            <w:vAlign w:val="center"/>
          </w:tcPr>
          <w:p w14:paraId="2172CA7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020" w:type="dxa"/>
          </w:tcPr>
          <w:p w14:paraId="654C6CB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2.国内</w:t>
            </w:r>
            <w:r>
              <w:rPr>
                <w:rFonts w:hint="eastAsia" w:ascii="仿宋_GB2312" w:hAnsi="仿宋_GB2312" w:eastAsia="仿宋_GB2312" w:cs="仿宋_GB2312"/>
                <w:i w:val="0"/>
                <w:iCs w:val="0"/>
                <w:color w:val="000000"/>
                <w:kern w:val="0"/>
                <w:sz w:val="28"/>
                <w:szCs w:val="28"/>
                <w:u w:val="none"/>
                <w:lang w:val="en-US" w:eastAsia="zh-CN" w:bidi="ar"/>
              </w:rPr>
              <w:t>道路运输经营许可证/国际道路运输经营许可证</w:t>
            </w:r>
            <w:r>
              <w:rPr>
                <w:rFonts w:hint="eastAsia" w:ascii="仿宋_GB2312" w:hAnsi="仿宋_GB2312" w:eastAsia="仿宋_GB2312" w:cs="仿宋_GB2312"/>
                <w:sz w:val="28"/>
                <w:szCs w:val="28"/>
                <w:vertAlign w:val="baseline"/>
                <w:lang w:val="en-US" w:eastAsia="zh-CN"/>
              </w:rPr>
              <w:t>/铁路运输资质(3分)</w:t>
            </w:r>
          </w:p>
        </w:tc>
        <w:tc>
          <w:tcPr>
            <w:tcW w:w="1456" w:type="dxa"/>
            <w:vMerge w:val="continue"/>
          </w:tcPr>
          <w:p w14:paraId="22F2728D">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tcPr>
          <w:p w14:paraId="07E72A9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r>
      <w:tr w14:paraId="4030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Pr>
          <w:p w14:paraId="4D74EA1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24" w:type="dxa"/>
            <w:vMerge w:val="continue"/>
            <w:vAlign w:val="center"/>
          </w:tcPr>
          <w:p w14:paraId="55F74C3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020" w:type="dxa"/>
          </w:tcPr>
          <w:p w14:paraId="2F020A4E">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3.国内</w:t>
            </w:r>
            <w:r>
              <w:rPr>
                <w:rFonts w:hint="eastAsia" w:ascii="仿宋_GB2312" w:hAnsi="仿宋_GB2312" w:eastAsia="仿宋_GB2312" w:cs="仿宋_GB2312"/>
                <w:i w:val="0"/>
                <w:iCs w:val="0"/>
                <w:color w:val="000000"/>
                <w:kern w:val="0"/>
                <w:sz w:val="28"/>
                <w:szCs w:val="28"/>
                <w:u w:val="none"/>
                <w:lang w:val="en-US" w:eastAsia="zh-CN" w:bidi="ar"/>
              </w:rPr>
              <w:t>道路运输经营许可证/国际道路运输经营许可证</w:t>
            </w:r>
            <w:r>
              <w:rPr>
                <w:rFonts w:hint="eastAsia" w:ascii="仿宋_GB2312" w:hAnsi="仿宋_GB2312" w:eastAsia="仿宋_GB2312" w:cs="仿宋_GB2312"/>
                <w:sz w:val="28"/>
                <w:szCs w:val="28"/>
                <w:vertAlign w:val="baseline"/>
                <w:lang w:val="en-US" w:eastAsia="zh-CN"/>
              </w:rPr>
              <w:t>/铁路/船舶运输资质(5分)</w:t>
            </w:r>
          </w:p>
        </w:tc>
        <w:tc>
          <w:tcPr>
            <w:tcW w:w="1456" w:type="dxa"/>
            <w:vMerge w:val="continue"/>
          </w:tcPr>
          <w:p w14:paraId="10906AE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tcPr>
          <w:p w14:paraId="2D2FF4C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r>
      <w:tr w14:paraId="3A11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90" w:type="dxa"/>
            <w:vMerge w:val="restart"/>
            <w:vAlign w:val="center"/>
          </w:tcPr>
          <w:p w14:paraId="1CCDDBF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424" w:type="dxa"/>
            <w:vMerge w:val="restart"/>
            <w:vAlign w:val="center"/>
          </w:tcPr>
          <w:p w14:paraId="12FF2315">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往年的境内、境外运输经验</w:t>
            </w:r>
          </w:p>
        </w:tc>
        <w:tc>
          <w:tcPr>
            <w:tcW w:w="4020" w:type="dxa"/>
          </w:tcPr>
          <w:p w14:paraId="507A5C8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1.只有境内或境外运输经验(6分)</w:t>
            </w:r>
          </w:p>
        </w:tc>
        <w:tc>
          <w:tcPr>
            <w:tcW w:w="1456" w:type="dxa"/>
            <w:vMerge w:val="restart"/>
          </w:tcPr>
          <w:p w14:paraId="0D95E07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highlight w:val="none"/>
                <w:vertAlign w:val="baseline"/>
                <w:lang w:val="en-US" w:eastAsia="zh-CN"/>
              </w:rPr>
            </w:pPr>
          </w:p>
        </w:tc>
        <w:tc>
          <w:tcPr>
            <w:tcW w:w="1461" w:type="dxa"/>
            <w:vMerge w:val="restart"/>
            <w:vAlign w:val="center"/>
          </w:tcPr>
          <w:p w14:paraId="75F9165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提供实质证明材料及报关单价</w:t>
            </w:r>
          </w:p>
        </w:tc>
      </w:tr>
      <w:tr w14:paraId="44AD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5AE39F5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p>
        </w:tc>
        <w:tc>
          <w:tcPr>
            <w:tcW w:w="1424" w:type="dxa"/>
            <w:vMerge w:val="continue"/>
            <w:vAlign w:val="center"/>
          </w:tcPr>
          <w:p w14:paraId="2CBC44F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020" w:type="dxa"/>
          </w:tcPr>
          <w:p w14:paraId="56E804B4">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2.同时有境内和境外运输经验(8分)</w:t>
            </w:r>
          </w:p>
        </w:tc>
        <w:tc>
          <w:tcPr>
            <w:tcW w:w="1456" w:type="dxa"/>
            <w:vMerge w:val="continue"/>
          </w:tcPr>
          <w:p w14:paraId="6044F0AC">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46834DA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p>
        </w:tc>
      </w:tr>
      <w:tr w14:paraId="0FC6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0" w:type="dxa"/>
            <w:vMerge w:val="continue"/>
            <w:vAlign w:val="center"/>
          </w:tcPr>
          <w:p w14:paraId="56DD496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p>
        </w:tc>
        <w:tc>
          <w:tcPr>
            <w:tcW w:w="1424" w:type="dxa"/>
            <w:vMerge w:val="continue"/>
            <w:vAlign w:val="center"/>
          </w:tcPr>
          <w:p w14:paraId="3EEF8A2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020" w:type="dxa"/>
          </w:tcPr>
          <w:p w14:paraId="7B8F30BD">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3.同时有境内和境外运输经验且可做报关业务（10分）</w:t>
            </w:r>
          </w:p>
        </w:tc>
        <w:tc>
          <w:tcPr>
            <w:tcW w:w="1456" w:type="dxa"/>
          </w:tcPr>
          <w:p w14:paraId="289F6C3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p>
        </w:tc>
        <w:tc>
          <w:tcPr>
            <w:tcW w:w="1461" w:type="dxa"/>
            <w:vMerge w:val="continue"/>
            <w:vAlign w:val="center"/>
          </w:tcPr>
          <w:p w14:paraId="64F1794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p>
        </w:tc>
      </w:tr>
      <w:tr w14:paraId="3B1B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790" w:type="dxa"/>
            <w:vMerge w:val="restart"/>
            <w:vAlign w:val="center"/>
          </w:tcPr>
          <w:p w14:paraId="4EA095A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7</w:t>
            </w:r>
          </w:p>
        </w:tc>
        <w:tc>
          <w:tcPr>
            <w:tcW w:w="1424" w:type="dxa"/>
            <w:vMerge w:val="restart"/>
            <w:vAlign w:val="center"/>
          </w:tcPr>
          <w:p w14:paraId="13ADA04A">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与地区同类运输比较优势</w:t>
            </w:r>
          </w:p>
        </w:tc>
        <w:tc>
          <w:tcPr>
            <w:tcW w:w="4020" w:type="dxa"/>
          </w:tcPr>
          <w:p w14:paraId="3405ABE2">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同类运输企业比较无优势，2024年价格（占比80%）及增值服务优势（占比20%）</w:t>
            </w:r>
          </w:p>
          <w:p w14:paraId="6E0BDDE3">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（1-10分）</w:t>
            </w:r>
          </w:p>
        </w:tc>
        <w:tc>
          <w:tcPr>
            <w:tcW w:w="1456" w:type="dxa"/>
            <w:vMerge w:val="restart"/>
          </w:tcPr>
          <w:p w14:paraId="7A39AF0D">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restart"/>
            <w:vAlign w:val="center"/>
          </w:tcPr>
          <w:p w14:paraId="40632BE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老运输商依据历史KPI价格、增值服务、准时率、货损率等评估；新运输商按我方列示路线提供同期境内外各三条含有运价的账单和中标公示</w:t>
            </w:r>
          </w:p>
        </w:tc>
      </w:tr>
      <w:tr w14:paraId="5894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790" w:type="dxa"/>
            <w:vMerge w:val="continue"/>
            <w:vAlign w:val="center"/>
          </w:tcPr>
          <w:p w14:paraId="44488F8D">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333F88C1">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38F347D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2.同类运输企业比较有优势，2024年价格（占比80%）及增值服务优势（占比20%）    （11-20分）</w:t>
            </w:r>
          </w:p>
        </w:tc>
        <w:tc>
          <w:tcPr>
            <w:tcW w:w="1456" w:type="dxa"/>
            <w:vMerge w:val="continue"/>
          </w:tcPr>
          <w:p w14:paraId="6DB0D46D">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406C799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r w14:paraId="1923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08631F9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55ADB59E">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2F5CDB2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3.同类运输企业比较有较大优势，2024年价格（占比80%）及增值服务优势（占比20%）（21-30分）</w:t>
            </w:r>
          </w:p>
        </w:tc>
        <w:tc>
          <w:tcPr>
            <w:tcW w:w="1456" w:type="dxa"/>
            <w:vMerge w:val="continue"/>
          </w:tcPr>
          <w:p w14:paraId="580F94E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16E354E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1286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vAlign w:val="center"/>
          </w:tcPr>
          <w:p w14:paraId="77725E2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8</w:t>
            </w:r>
          </w:p>
        </w:tc>
        <w:tc>
          <w:tcPr>
            <w:tcW w:w="1424" w:type="dxa"/>
            <w:vMerge w:val="restart"/>
            <w:vAlign w:val="center"/>
          </w:tcPr>
          <w:p w14:paraId="32F66D4E">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资产负债率(需提供公司盖章的资产负债表)</w:t>
            </w:r>
          </w:p>
        </w:tc>
        <w:tc>
          <w:tcPr>
            <w:tcW w:w="4020" w:type="dxa"/>
          </w:tcPr>
          <w:p w14:paraId="53F1FAB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1.90%以上或无法提供资产负债表的(0分)</w:t>
            </w:r>
          </w:p>
        </w:tc>
        <w:tc>
          <w:tcPr>
            <w:tcW w:w="1456" w:type="dxa"/>
            <w:vMerge w:val="restart"/>
          </w:tcPr>
          <w:p w14:paraId="5A64C24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restart"/>
            <w:vAlign w:val="center"/>
          </w:tcPr>
          <w:p w14:paraId="15EF239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2023-2024年财务报表</w:t>
            </w:r>
          </w:p>
        </w:tc>
      </w:tr>
      <w:tr w14:paraId="3699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51CD80F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1FCC23A7">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2D99DD1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2.70%-90%(1分)</w:t>
            </w:r>
          </w:p>
        </w:tc>
        <w:tc>
          <w:tcPr>
            <w:tcW w:w="1456" w:type="dxa"/>
            <w:vMerge w:val="continue"/>
          </w:tcPr>
          <w:p w14:paraId="3E7C8F1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77424DE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538A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08AB971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454B6212">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22B571A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3.50%-70%(3分)</w:t>
            </w:r>
          </w:p>
        </w:tc>
        <w:tc>
          <w:tcPr>
            <w:tcW w:w="1456" w:type="dxa"/>
            <w:vMerge w:val="continue"/>
          </w:tcPr>
          <w:p w14:paraId="3E190B76">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504A47BD">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455A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7CA2A34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3171596A">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16A6BAA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4.50%以下(5分)</w:t>
            </w:r>
          </w:p>
        </w:tc>
        <w:tc>
          <w:tcPr>
            <w:tcW w:w="1456" w:type="dxa"/>
            <w:vMerge w:val="continue"/>
          </w:tcPr>
          <w:p w14:paraId="04F7A4E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1A60E60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5264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vAlign w:val="center"/>
          </w:tcPr>
          <w:p w14:paraId="5134F22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9</w:t>
            </w:r>
          </w:p>
        </w:tc>
        <w:tc>
          <w:tcPr>
            <w:tcW w:w="1424" w:type="dxa"/>
            <w:vMerge w:val="restart"/>
            <w:vAlign w:val="center"/>
          </w:tcPr>
          <w:p w14:paraId="2797E217">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主营业务收入（需提供公司盖章的利润表)</w:t>
            </w:r>
          </w:p>
        </w:tc>
        <w:tc>
          <w:tcPr>
            <w:tcW w:w="4020" w:type="dxa"/>
          </w:tcPr>
          <w:p w14:paraId="47DFF0C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1.50万元以内或无法提供利润报表的(0分)</w:t>
            </w:r>
          </w:p>
        </w:tc>
        <w:tc>
          <w:tcPr>
            <w:tcW w:w="1456" w:type="dxa"/>
            <w:vMerge w:val="restart"/>
          </w:tcPr>
          <w:p w14:paraId="139DA2E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463F635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3E9A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12CCA30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1E62A816">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7CE6F8E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2.50(含)-300万元(1分)</w:t>
            </w:r>
          </w:p>
        </w:tc>
        <w:tc>
          <w:tcPr>
            <w:tcW w:w="1456" w:type="dxa"/>
            <w:vMerge w:val="continue"/>
          </w:tcPr>
          <w:p w14:paraId="15D9ECC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05E36C5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6589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7E0B681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651155D5">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23BE4D4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3.300(含)-500万元(2分)</w:t>
            </w:r>
          </w:p>
        </w:tc>
        <w:tc>
          <w:tcPr>
            <w:tcW w:w="1456" w:type="dxa"/>
            <w:vMerge w:val="continue"/>
          </w:tcPr>
          <w:p w14:paraId="7ABCC15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2CCD67E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045E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continue"/>
            <w:vAlign w:val="center"/>
          </w:tcPr>
          <w:p w14:paraId="016CB6A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77718F78">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0AF4B5D6">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4.500(含)-1000万元(3分)</w:t>
            </w:r>
          </w:p>
        </w:tc>
        <w:tc>
          <w:tcPr>
            <w:tcW w:w="1456" w:type="dxa"/>
            <w:vMerge w:val="continue"/>
          </w:tcPr>
          <w:p w14:paraId="5ED5D22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3CC5724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0C23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709EC0F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21E9CFAB">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68B7250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5.1000(含)-5000万元(4分)</w:t>
            </w:r>
          </w:p>
        </w:tc>
        <w:tc>
          <w:tcPr>
            <w:tcW w:w="1456" w:type="dxa"/>
            <w:vMerge w:val="continue"/>
          </w:tcPr>
          <w:p w14:paraId="76E5BE0F">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35DDD0E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7AD0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6D42948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0122E6F5">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3AF14FA1">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6.5000《含)万元以上(5分)</w:t>
            </w:r>
          </w:p>
        </w:tc>
        <w:tc>
          <w:tcPr>
            <w:tcW w:w="1456" w:type="dxa"/>
            <w:vMerge w:val="continue"/>
          </w:tcPr>
          <w:p w14:paraId="157CBE7F">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5461D795">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77F4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0" w:type="dxa"/>
            <w:vMerge w:val="restart"/>
            <w:vAlign w:val="center"/>
          </w:tcPr>
          <w:p w14:paraId="747AFB6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10</w:t>
            </w:r>
          </w:p>
        </w:tc>
        <w:tc>
          <w:tcPr>
            <w:tcW w:w="1424" w:type="dxa"/>
            <w:vMerge w:val="restart"/>
            <w:vAlign w:val="center"/>
          </w:tcPr>
          <w:p w14:paraId="1C3E2375">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管理体系</w:t>
            </w:r>
          </w:p>
        </w:tc>
        <w:tc>
          <w:tcPr>
            <w:tcW w:w="4020" w:type="dxa"/>
            <w:vAlign w:val="top"/>
          </w:tcPr>
          <w:p w14:paraId="7228BBBB">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1.未通过ISO9001/ISO14001/OHSAS18001等相关管理体系认证（0分）</w:t>
            </w:r>
          </w:p>
        </w:tc>
        <w:tc>
          <w:tcPr>
            <w:tcW w:w="1456" w:type="dxa"/>
          </w:tcPr>
          <w:p w14:paraId="250BEEF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restart"/>
            <w:vAlign w:val="center"/>
          </w:tcPr>
          <w:p w14:paraId="26E374E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455F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0" w:type="dxa"/>
            <w:vMerge w:val="continue"/>
            <w:vAlign w:val="center"/>
          </w:tcPr>
          <w:p w14:paraId="27D2CBA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765C8754">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highlight w:val="none"/>
                <w:vertAlign w:val="baseline"/>
                <w:lang w:val="en-US" w:eastAsia="zh-CN"/>
              </w:rPr>
            </w:pPr>
          </w:p>
        </w:tc>
        <w:tc>
          <w:tcPr>
            <w:tcW w:w="4020" w:type="dxa"/>
            <w:vAlign w:val="top"/>
          </w:tcPr>
          <w:p w14:paraId="2FA75CB3">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2.通过ISO9001/ISO14001/OHSAS18001等相关管理体系认证（2分）</w:t>
            </w:r>
          </w:p>
        </w:tc>
        <w:tc>
          <w:tcPr>
            <w:tcW w:w="1456" w:type="dxa"/>
          </w:tcPr>
          <w:p w14:paraId="599B1DB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Merge w:val="continue"/>
            <w:vAlign w:val="center"/>
          </w:tcPr>
          <w:p w14:paraId="2C916735">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6ADA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0" w:type="dxa"/>
            <w:vMerge w:val="restart"/>
            <w:shd w:val="clear" w:color="auto" w:fill="auto"/>
            <w:vAlign w:val="top"/>
          </w:tcPr>
          <w:p w14:paraId="3F28C07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p w14:paraId="404C13A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11</w:t>
            </w:r>
          </w:p>
          <w:p w14:paraId="240A7D94">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p w14:paraId="10FDEAFB">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highlight w:val="none"/>
                <w:vertAlign w:val="baseline"/>
                <w:lang w:val="en-US" w:eastAsia="zh-CN"/>
              </w:rPr>
            </w:pPr>
          </w:p>
        </w:tc>
        <w:tc>
          <w:tcPr>
            <w:tcW w:w="1424" w:type="dxa"/>
            <w:vMerge w:val="restart"/>
            <w:shd w:val="clear" w:color="auto" w:fill="auto"/>
            <w:vAlign w:val="top"/>
          </w:tcPr>
          <w:p w14:paraId="3B0EB85B">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28"/>
                <w:szCs w:val="28"/>
                <w:highlight w:val="none"/>
                <w:vertAlign w:val="baseline"/>
                <w:lang w:val="en-US" w:eastAsia="zh-CN"/>
              </w:rPr>
            </w:pPr>
            <w:r>
              <w:rPr>
                <w:rFonts w:hint="default" w:ascii="仿宋_GB2312" w:hAnsi="仿宋_GB2312" w:eastAsia="仿宋_GB2312" w:cs="仿宋_GB2312"/>
                <w:color w:val="auto"/>
                <w:sz w:val="28"/>
                <w:szCs w:val="28"/>
                <w:highlight w:val="none"/>
                <w:vertAlign w:val="baseline"/>
                <w:lang w:val="en-US" w:eastAsia="zh-CN"/>
              </w:rPr>
              <w:t>GPS管理系统、专用通讯工具</w:t>
            </w:r>
          </w:p>
        </w:tc>
        <w:tc>
          <w:tcPr>
            <w:tcW w:w="4020" w:type="dxa"/>
            <w:vAlign w:val="top"/>
          </w:tcPr>
          <w:p w14:paraId="434E295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1.无（0分）</w:t>
            </w:r>
          </w:p>
        </w:tc>
        <w:tc>
          <w:tcPr>
            <w:tcW w:w="1456" w:type="dxa"/>
            <w:vAlign w:val="top"/>
          </w:tcPr>
          <w:p w14:paraId="135929B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shd w:val="clear" w:color="auto" w:fill="auto"/>
            <w:vAlign w:val="top"/>
          </w:tcPr>
          <w:p w14:paraId="1C56E98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p w14:paraId="7E3E0F1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41A6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90" w:type="dxa"/>
            <w:vMerge w:val="continue"/>
            <w:vAlign w:val="center"/>
          </w:tcPr>
          <w:p w14:paraId="6B5B4D84">
            <w:pPr>
              <w:pStyle w:val="3"/>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p>
        </w:tc>
        <w:tc>
          <w:tcPr>
            <w:tcW w:w="1424" w:type="dxa"/>
            <w:vMerge w:val="continue"/>
            <w:vAlign w:val="center"/>
          </w:tcPr>
          <w:p w14:paraId="6AC189A6">
            <w:pPr>
              <w:pStyle w:val="3"/>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p>
        </w:tc>
        <w:tc>
          <w:tcPr>
            <w:tcW w:w="4020" w:type="dxa"/>
            <w:vAlign w:val="top"/>
          </w:tcPr>
          <w:p w14:paraId="076506E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2.有（3分）</w:t>
            </w:r>
          </w:p>
        </w:tc>
        <w:tc>
          <w:tcPr>
            <w:tcW w:w="1456" w:type="dxa"/>
          </w:tcPr>
          <w:p w14:paraId="41D6382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Align w:val="center"/>
          </w:tcPr>
          <w:p w14:paraId="3ABACB8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r>
      <w:tr w14:paraId="30E2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790" w:type="dxa"/>
            <w:vMerge w:val="restart"/>
            <w:vAlign w:val="center"/>
          </w:tcPr>
          <w:p w14:paraId="6A955C5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12</w:t>
            </w:r>
          </w:p>
        </w:tc>
        <w:tc>
          <w:tcPr>
            <w:tcW w:w="1424" w:type="dxa"/>
            <w:vMerge w:val="restart"/>
            <w:vAlign w:val="center"/>
          </w:tcPr>
          <w:p w14:paraId="4675FE7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运输公司经营稳定性</w:t>
            </w:r>
          </w:p>
          <w:p w14:paraId="5951BDFC">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shd w:val="clear" w:color="auto" w:fill="auto"/>
            <w:vAlign w:val="center"/>
          </w:tcPr>
          <w:p w14:paraId="58482581">
            <w:pPr>
              <w:keepNext w:val="0"/>
              <w:keepLines w:val="0"/>
              <w:widowControl/>
              <w:suppressLineNumbers w:val="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1.企业领导层变动频繁、近两年经营效益下降、无软硬件设备更新计划（1分）</w:t>
            </w:r>
          </w:p>
        </w:tc>
        <w:tc>
          <w:tcPr>
            <w:tcW w:w="1456" w:type="dxa"/>
            <w:vAlign w:val="center"/>
          </w:tcPr>
          <w:p w14:paraId="7852D3E4">
            <w:pPr>
              <w:keepNext w:val="0"/>
              <w:keepLines w:val="0"/>
              <w:widowControl/>
              <w:suppressLineNumbers w:val="0"/>
              <w:jc w:val="left"/>
              <w:textAlignment w:val="center"/>
              <w:rPr>
                <w:rFonts w:hint="eastAsia" w:ascii="仿宋_GB2312" w:hAnsi="仿宋_GB2312" w:eastAsia="仿宋_GB2312" w:cs="仿宋_GB2312"/>
                <w:color w:val="auto"/>
                <w:sz w:val="28"/>
                <w:szCs w:val="28"/>
                <w:highlight w:val="none"/>
                <w:vertAlign w:val="baseline"/>
                <w:lang w:val="en-US" w:eastAsia="zh-CN"/>
              </w:rPr>
            </w:pPr>
          </w:p>
        </w:tc>
        <w:tc>
          <w:tcPr>
            <w:tcW w:w="1461" w:type="dxa"/>
          </w:tcPr>
          <w:p w14:paraId="208E4A6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天眼查</w:t>
            </w:r>
          </w:p>
        </w:tc>
      </w:tr>
      <w:tr w14:paraId="2152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1A10AA2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6EE0E915">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vAlign w:val="center"/>
          </w:tcPr>
          <w:p w14:paraId="78D92F69">
            <w:pPr>
              <w:keepNext w:val="0"/>
              <w:keepLines w:val="0"/>
              <w:widowControl/>
              <w:suppressLineNumbers w:val="0"/>
              <w:jc w:val="left"/>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2.企业领导层变动影响不大、人员流动3％－5％、近两年经营效益较稳定、有软硬件设备更新计划（2－3分）</w:t>
            </w:r>
          </w:p>
        </w:tc>
        <w:tc>
          <w:tcPr>
            <w:tcW w:w="1456" w:type="dxa"/>
          </w:tcPr>
          <w:p w14:paraId="3A47C96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Align w:val="center"/>
          </w:tcPr>
          <w:p w14:paraId="74EA569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7869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vAlign w:val="center"/>
          </w:tcPr>
          <w:p w14:paraId="197BD69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24" w:type="dxa"/>
            <w:vMerge w:val="continue"/>
            <w:vAlign w:val="center"/>
          </w:tcPr>
          <w:p w14:paraId="28D13FCE">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p>
        </w:tc>
        <w:tc>
          <w:tcPr>
            <w:tcW w:w="4020" w:type="dxa"/>
            <w:vAlign w:val="center"/>
          </w:tcPr>
          <w:p w14:paraId="318575F5">
            <w:pPr>
              <w:keepNext w:val="0"/>
              <w:keepLines w:val="0"/>
              <w:widowControl/>
              <w:suppressLineNumbers w:val="0"/>
              <w:jc w:val="left"/>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3.企业领导层的无变动、人员流动在3－5％、近两年经营效益情况良好、有软硬件设备更新计划（3－5分）</w:t>
            </w:r>
          </w:p>
        </w:tc>
        <w:tc>
          <w:tcPr>
            <w:tcW w:w="1456" w:type="dxa"/>
          </w:tcPr>
          <w:p w14:paraId="70130F9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Align w:val="center"/>
          </w:tcPr>
          <w:p w14:paraId="6FCDA8F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4DBE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vAlign w:val="center"/>
          </w:tcPr>
          <w:p w14:paraId="4080FEB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w:t>
            </w:r>
          </w:p>
        </w:tc>
        <w:tc>
          <w:tcPr>
            <w:tcW w:w="1424" w:type="dxa"/>
            <w:vMerge w:val="restart"/>
            <w:vAlign w:val="center"/>
          </w:tcPr>
          <w:p w14:paraId="651D7C67">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信用记录</w:t>
            </w:r>
          </w:p>
        </w:tc>
        <w:tc>
          <w:tcPr>
            <w:tcW w:w="4020" w:type="dxa"/>
          </w:tcPr>
          <w:p w14:paraId="426BA4E6">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1.无法提供或存在不良记录(-100分)</w:t>
            </w:r>
          </w:p>
        </w:tc>
        <w:tc>
          <w:tcPr>
            <w:tcW w:w="1456" w:type="dxa"/>
          </w:tcPr>
          <w:p w14:paraId="3D347FC4">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vAlign w:val="center"/>
          </w:tcPr>
          <w:p w14:paraId="7530A21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355D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Pr>
          <w:p w14:paraId="2689B94E">
            <w:pPr>
              <w:pStyle w:val="3"/>
              <w:keepNext w:val="0"/>
              <w:keepLines w:val="0"/>
              <w:pageBreakBefore w:val="0"/>
              <w:kinsoku/>
              <w:wordWrap/>
              <w:overflowPunct/>
              <w:topLinePunct w:val="0"/>
              <w:autoSpaceDE/>
              <w:autoSpaceDN/>
              <w:bidi w:val="0"/>
              <w:adjustRightInd/>
              <w:snapToGrid/>
              <w:spacing w:line="360" w:lineRule="auto"/>
              <w:rPr>
                <w:rFonts w:hint="default" w:ascii="仿宋_GB2312" w:hAnsi="仿宋_GB2312" w:eastAsia="仿宋_GB2312" w:cs="仿宋_GB2312"/>
                <w:color w:val="auto"/>
                <w:sz w:val="28"/>
                <w:szCs w:val="28"/>
                <w:highlight w:val="none"/>
                <w:vertAlign w:val="baseline"/>
                <w:lang w:val="en-US" w:eastAsia="zh-CN"/>
              </w:rPr>
            </w:pPr>
          </w:p>
        </w:tc>
        <w:tc>
          <w:tcPr>
            <w:tcW w:w="1424" w:type="dxa"/>
            <w:vMerge w:val="continue"/>
          </w:tcPr>
          <w:p w14:paraId="4E6D3FD4">
            <w:pPr>
              <w:pStyle w:val="3"/>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color w:val="auto"/>
                <w:sz w:val="28"/>
                <w:szCs w:val="28"/>
                <w:highlight w:val="none"/>
                <w:vertAlign w:val="baseline"/>
                <w:lang w:val="en-US" w:eastAsia="zh-CN"/>
              </w:rPr>
            </w:pPr>
          </w:p>
        </w:tc>
        <w:tc>
          <w:tcPr>
            <w:tcW w:w="4020" w:type="dxa"/>
          </w:tcPr>
          <w:p w14:paraId="71BB73B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2.信用记录完整且查询记录良好(10分)</w:t>
            </w:r>
          </w:p>
        </w:tc>
        <w:tc>
          <w:tcPr>
            <w:tcW w:w="1456" w:type="dxa"/>
          </w:tcPr>
          <w:p w14:paraId="145E71C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461" w:type="dxa"/>
            <w:shd w:val="clear" w:color="auto" w:fill="auto"/>
            <w:vAlign w:val="top"/>
          </w:tcPr>
          <w:p w14:paraId="4A62FFE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p w14:paraId="54E9931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bl>
    <w:p w14:paraId="0F76EA76">
      <w:pPr>
        <w:pStyle w:val="3"/>
        <w:keepNext w:val="0"/>
        <w:keepLines w:val="0"/>
        <w:pageBreakBefore w:val="0"/>
        <w:kinsoku/>
        <w:wordWrap/>
        <w:overflowPunct/>
        <w:topLinePunct w:val="0"/>
        <w:autoSpaceDE/>
        <w:autoSpaceDN/>
        <w:bidi w:val="0"/>
        <w:adjustRightInd/>
        <w:snapToGrid/>
        <w:spacing w:line="360" w:lineRule="auto"/>
        <w:rPr>
          <w:rFonts w:hint="eastAsia"/>
          <w:color w:val="auto"/>
          <w:highlight w:val="none"/>
          <w:lang w:val="en-US" w:eastAsia="zh-CN"/>
        </w:rPr>
      </w:pP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0F3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B173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9B173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0282"/>
    <w:multiLevelType w:val="singleLevel"/>
    <w:tmpl w:val="DB74028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MjBmN2NlM2ZmMTA4NzBhYTFkZjZlZTkxNzYyNTcifQ=="/>
  </w:docVars>
  <w:rsids>
    <w:rsidRoot w:val="00000000"/>
    <w:rsid w:val="00004695"/>
    <w:rsid w:val="003C3B92"/>
    <w:rsid w:val="005F7127"/>
    <w:rsid w:val="008C3CB1"/>
    <w:rsid w:val="008C4773"/>
    <w:rsid w:val="01006CB0"/>
    <w:rsid w:val="01025A37"/>
    <w:rsid w:val="013F7A9A"/>
    <w:rsid w:val="01964C25"/>
    <w:rsid w:val="01995BAA"/>
    <w:rsid w:val="01DC539A"/>
    <w:rsid w:val="024702CC"/>
    <w:rsid w:val="02F13E7D"/>
    <w:rsid w:val="035F3318"/>
    <w:rsid w:val="03C52CBC"/>
    <w:rsid w:val="040A59AF"/>
    <w:rsid w:val="04A01725"/>
    <w:rsid w:val="04B34B43"/>
    <w:rsid w:val="04BA7D51"/>
    <w:rsid w:val="04FD623C"/>
    <w:rsid w:val="050071C0"/>
    <w:rsid w:val="05EB5EC4"/>
    <w:rsid w:val="06141287"/>
    <w:rsid w:val="069D7EE6"/>
    <w:rsid w:val="06F53DF8"/>
    <w:rsid w:val="072510C4"/>
    <w:rsid w:val="07937179"/>
    <w:rsid w:val="07F46FA0"/>
    <w:rsid w:val="09573962"/>
    <w:rsid w:val="0A080C44"/>
    <w:rsid w:val="0A5B410A"/>
    <w:rsid w:val="0AB86A22"/>
    <w:rsid w:val="0ABB11E4"/>
    <w:rsid w:val="0AE465EC"/>
    <w:rsid w:val="0B4E0312"/>
    <w:rsid w:val="0B5010BD"/>
    <w:rsid w:val="0B8528F2"/>
    <w:rsid w:val="0B9D381C"/>
    <w:rsid w:val="0C8A21A0"/>
    <w:rsid w:val="0D06536D"/>
    <w:rsid w:val="0D6F798F"/>
    <w:rsid w:val="0E4B437F"/>
    <w:rsid w:val="0EF5348D"/>
    <w:rsid w:val="0F581039"/>
    <w:rsid w:val="0FBF5566"/>
    <w:rsid w:val="0FF40EB8"/>
    <w:rsid w:val="10052457"/>
    <w:rsid w:val="108A5F33"/>
    <w:rsid w:val="110A553C"/>
    <w:rsid w:val="11146D91"/>
    <w:rsid w:val="11452DE3"/>
    <w:rsid w:val="11B77F5C"/>
    <w:rsid w:val="11CF6595"/>
    <w:rsid w:val="11E6296C"/>
    <w:rsid w:val="12224D50"/>
    <w:rsid w:val="123526EB"/>
    <w:rsid w:val="125D5E2E"/>
    <w:rsid w:val="12C82F5F"/>
    <w:rsid w:val="12CE4E68"/>
    <w:rsid w:val="12EB6997"/>
    <w:rsid w:val="135F0ED4"/>
    <w:rsid w:val="137C6286"/>
    <w:rsid w:val="13883134"/>
    <w:rsid w:val="13C156F5"/>
    <w:rsid w:val="13FC67C8"/>
    <w:rsid w:val="144A1DD6"/>
    <w:rsid w:val="147C16AC"/>
    <w:rsid w:val="14C72A25"/>
    <w:rsid w:val="14DA74C7"/>
    <w:rsid w:val="16BD3DD9"/>
    <w:rsid w:val="16E178E4"/>
    <w:rsid w:val="171170E7"/>
    <w:rsid w:val="171A2FD7"/>
    <w:rsid w:val="171F3E7E"/>
    <w:rsid w:val="17EC7D4E"/>
    <w:rsid w:val="17EF0CD3"/>
    <w:rsid w:val="18AB6E88"/>
    <w:rsid w:val="18AC1086"/>
    <w:rsid w:val="19075F1D"/>
    <w:rsid w:val="193E1C7A"/>
    <w:rsid w:val="19613133"/>
    <w:rsid w:val="19835866"/>
    <w:rsid w:val="19C127B5"/>
    <w:rsid w:val="1A130F8F"/>
    <w:rsid w:val="1A362FFE"/>
    <w:rsid w:val="1A3B5015"/>
    <w:rsid w:val="1A3B78AA"/>
    <w:rsid w:val="1A49562F"/>
    <w:rsid w:val="1A710D72"/>
    <w:rsid w:val="1A885114"/>
    <w:rsid w:val="1B080EE5"/>
    <w:rsid w:val="1B0F4F52"/>
    <w:rsid w:val="1B101B75"/>
    <w:rsid w:val="1B4A0A55"/>
    <w:rsid w:val="1BB75806"/>
    <w:rsid w:val="1BDE7C44"/>
    <w:rsid w:val="1BE724DA"/>
    <w:rsid w:val="1BF4566B"/>
    <w:rsid w:val="1C220738"/>
    <w:rsid w:val="1C3144D5"/>
    <w:rsid w:val="1C4A4D75"/>
    <w:rsid w:val="1C5046FF"/>
    <w:rsid w:val="1CF5041B"/>
    <w:rsid w:val="1D0F3839"/>
    <w:rsid w:val="1D22285A"/>
    <w:rsid w:val="1D3849FD"/>
    <w:rsid w:val="1D652049"/>
    <w:rsid w:val="1DB6406F"/>
    <w:rsid w:val="1E4516B7"/>
    <w:rsid w:val="1E5820B9"/>
    <w:rsid w:val="1F0D587D"/>
    <w:rsid w:val="1F325ABD"/>
    <w:rsid w:val="1F8F5A43"/>
    <w:rsid w:val="1F936DDB"/>
    <w:rsid w:val="1FC16504"/>
    <w:rsid w:val="1FDB71CF"/>
    <w:rsid w:val="1FEB2CED"/>
    <w:rsid w:val="20371AE7"/>
    <w:rsid w:val="206B6ABE"/>
    <w:rsid w:val="211A20DA"/>
    <w:rsid w:val="2142329E"/>
    <w:rsid w:val="22181FFD"/>
    <w:rsid w:val="221E7789"/>
    <w:rsid w:val="229A12D1"/>
    <w:rsid w:val="233C68DC"/>
    <w:rsid w:val="25001A40"/>
    <w:rsid w:val="253E2BAA"/>
    <w:rsid w:val="25780405"/>
    <w:rsid w:val="25A2628F"/>
    <w:rsid w:val="25E41817"/>
    <w:rsid w:val="261D2218"/>
    <w:rsid w:val="262B372C"/>
    <w:rsid w:val="266C581A"/>
    <w:rsid w:val="276A4438"/>
    <w:rsid w:val="28673056"/>
    <w:rsid w:val="28A14135"/>
    <w:rsid w:val="28E229A0"/>
    <w:rsid w:val="29765412"/>
    <w:rsid w:val="29B07B75"/>
    <w:rsid w:val="2A21112E"/>
    <w:rsid w:val="2A7D01C3"/>
    <w:rsid w:val="2BB1567F"/>
    <w:rsid w:val="2BC01AD4"/>
    <w:rsid w:val="2BCF20EE"/>
    <w:rsid w:val="2BD01D6E"/>
    <w:rsid w:val="2DA30D70"/>
    <w:rsid w:val="2DB35787"/>
    <w:rsid w:val="2E0A6195"/>
    <w:rsid w:val="2E0C4F1C"/>
    <w:rsid w:val="2E576295"/>
    <w:rsid w:val="2ECE71D8"/>
    <w:rsid w:val="2F0D5DDC"/>
    <w:rsid w:val="2F4910A0"/>
    <w:rsid w:val="2F5064AC"/>
    <w:rsid w:val="2F735768"/>
    <w:rsid w:val="2FDB378B"/>
    <w:rsid w:val="30121DEE"/>
    <w:rsid w:val="30372F27"/>
    <w:rsid w:val="3060796F"/>
    <w:rsid w:val="311E7AF8"/>
    <w:rsid w:val="316F64A7"/>
    <w:rsid w:val="31AC410D"/>
    <w:rsid w:val="31D729D3"/>
    <w:rsid w:val="31E5776A"/>
    <w:rsid w:val="31F20E2C"/>
    <w:rsid w:val="32103E32"/>
    <w:rsid w:val="322317CE"/>
    <w:rsid w:val="32904380"/>
    <w:rsid w:val="32B92FC6"/>
    <w:rsid w:val="32F440A4"/>
    <w:rsid w:val="33051DC0"/>
    <w:rsid w:val="33A46447"/>
    <w:rsid w:val="33DA6921"/>
    <w:rsid w:val="341C738A"/>
    <w:rsid w:val="34C51DA1"/>
    <w:rsid w:val="34FB227B"/>
    <w:rsid w:val="35EB1B84"/>
    <w:rsid w:val="360D33BD"/>
    <w:rsid w:val="365D4441"/>
    <w:rsid w:val="36692452"/>
    <w:rsid w:val="36B315CD"/>
    <w:rsid w:val="36C066E4"/>
    <w:rsid w:val="36D80507"/>
    <w:rsid w:val="36F13630"/>
    <w:rsid w:val="372C3815"/>
    <w:rsid w:val="372E7C5C"/>
    <w:rsid w:val="3751494E"/>
    <w:rsid w:val="37C329C2"/>
    <w:rsid w:val="380421F3"/>
    <w:rsid w:val="382C33B7"/>
    <w:rsid w:val="38804D57"/>
    <w:rsid w:val="38E42B66"/>
    <w:rsid w:val="38F34AC9"/>
    <w:rsid w:val="38FA4D0A"/>
    <w:rsid w:val="3949030C"/>
    <w:rsid w:val="39985E8D"/>
    <w:rsid w:val="399C2315"/>
    <w:rsid w:val="39A86127"/>
    <w:rsid w:val="39CA1B5F"/>
    <w:rsid w:val="39E06281"/>
    <w:rsid w:val="3A4631BF"/>
    <w:rsid w:val="3A9E1B37"/>
    <w:rsid w:val="3ADB521F"/>
    <w:rsid w:val="3AED3E24"/>
    <w:rsid w:val="3AFF4EAF"/>
    <w:rsid w:val="3B8C75C1"/>
    <w:rsid w:val="3C3F6C90"/>
    <w:rsid w:val="3CAA4196"/>
    <w:rsid w:val="3CB44AA5"/>
    <w:rsid w:val="3D8C258A"/>
    <w:rsid w:val="3D900F90"/>
    <w:rsid w:val="3DD3167A"/>
    <w:rsid w:val="3E8E531E"/>
    <w:rsid w:val="3ECB1C12"/>
    <w:rsid w:val="3EE77B9E"/>
    <w:rsid w:val="3F0C10F2"/>
    <w:rsid w:val="3F9006D6"/>
    <w:rsid w:val="3FEB14A1"/>
    <w:rsid w:val="408F27F7"/>
    <w:rsid w:val="40DE086C"/>
    <w:rsid w:val="41B75ADD"/>
    <w:rsid w:val="41EC3DB8"/>
    <w:rsid w:val="420A3368"/>
    <w:rsid w:val="429A1953"/>
    <w:rsid w:val="429E0F08"/>
    <w:rsid w:val="42EA4BD5"/>
    <w:rsid w:val="42FF12F7"/>
    <w:rsid w:val="43A60B8B"/>
    <w:rsid w:val="43F23209"/>
    <w:rsid w:val="441433BD"/>
    <w:rsid w:val="44457410"/>
    <w:rsid w:val="46132D66"/>
    <w:rsid w:val="462F49B1"/>
    <w:rsid w:val="46A71178"/>
    <w:rsid w:val="46B856BC"/>
    <w:rsid w:val="474F593B"/>
    <w:rsid w:val="48F90270"/>
    <w:rsid w:val="49244D8F"/>
    <w:rsid w:val="493801AD"/>
    <w:rsid w:val="494E2350"/>
    <w:rsid w:val="49896CB2"/>
    <w:rsid w:val="49CA7BE0"/>
    <w:rsid w:val="4ABE4B31"/>
    <w:rsid w:val="4B942400"/>
    <w:rsid w:val="4BC230D9"/>
    <w:rsid w:val="4D226519"/>
    <w:rsid w:val="4D3104A7"/>
    <w:rsid w:val="4D505D63"/>
    <w:rsid w:val="4D544769"/>
    <w:rsid w:val="4DF0689A"/>
    <w:rsid w:val="4E1E2F39"/>
    <w:rsid w:val="4E287FC5"/>
    <w:rsid w:val="4E4E3A88"/>
    <w:rsid w:val="4E7116BE"/>
    <w:rsid w:val="4EE80403"/>
    <w:rsid w:val="4F213A60"/>
    <w:rsid w:val="4F4B26A6"/>
    <w:rsid w:val="4FE52639"/>
    <w:rsid w:val="4FFA109F"/>
    <w:rsid w:val="50151D6F"/>
    <w:rsid w:val="50414974"/>
    <w:rsid w:val="50473843"/>
    <w:rsid w:val="50577CF3"/>
    <w:rsid w:val="50B463F5"/>
    <w:rsid w:val="50E955CA"/>
    <w:rsid w:val="51E25DA3"/>
    <w:rsid w:val="51FF0996"/>
    <w:rsid w:val="5219373E"/>
    <w:rsid w:val="525C54AC"/>
    <w:rsid w:val="52785177"/>
    <w:rsid w:val="530449C0"/>
    <w:rsid w:val="530968C9"/>
    <w:rsid w:val="532C2301"/>
    <w:rsid w:val="534244A5"/>
    <w:rsid w:val="53840791"/>
    <w:rsid w:val="53963F2F"/>
    <w:rsid w:val="53E96710"/>
    <w:rsid w:val="5443314E"/>
    <w:rsid w:val="549A28A4"/>
    <w:rsid w:val="54B5164D"/>
    <w:rsid w:val="54D33936"/>
    <w:rsid w:val="54DE7749"/>
    <w:rsid w:val="56501E4C"/>
    <w:rsid w:val="565F21C4"/>
    <w:rsid w:val="56633FB6"/>
    <w:rsid w:val="56885586"/>
    <w:rsid w:val="56C00F63"/>
    <w:rsid w:val="572F3796"/>
    <w:rsid w:val="57562AB6"/>
    <w:rsid w:val="587E21BE"/>
    <w:rsid w:val="58982D68"/>
    <w:rsid w:val="5910752F"/>
    <w:rsid w:val="59C67F57"/>
    <w:rsid w:val="5A5E13CF"/>
    <w:rsid w:val="5A704B6C"/>
    <w:rsid w:val="5A812888"/>
    <w:rsid w:val="5AAC6F50"/>
    <w:rsid w:val="5AF73385"/>
    <w:rsid w:val="5B013F5E"/>
    <w:rsid w:val="5B117F79"/>
    <w:rsid w:val="5B9D1C7F"/>
    <w:rsid w:val="5BA830B6"/>
    <w:rsid w:val="5C8C6FF0"/>
    <w:rsid w:val="5CA33FBF"/>
    <w:rsid w:val="5CB318A3"/>
    <w:rsid w:val="5CBF56B6"/>
    <w:rsid w:val="5D7F5AF4"/>
    <w:rsid w:val="5D870982"/>
    <w:rsid w:val="5DAC403A"/>
    <w:rsid w:val="5E0E7F0A"/>
    <w:rsid w:val="5E9934D3"/>
    <w:rsid w:val="5EDF69B5"/>
    <w:rsid w:val="5F317D54"/>
    <w:rsid w:val="5F737229"/>
    <w:rsid w:val="5F7A57AC"/>
    <w:rsid w:val="5F980362"/>
    <w:rsid w:val="60733548"/>
    <w:rsid w:val="607E218F"/>
    <w:rsid w:val="60AA0313"/>
    <w:rsid w:val="6171346B"/>
    <w:rsid w:val="61724770"/>
    <w:rsid w:val="62184EFE"/>
    <w:rsid w:val="62716891"/>
    <w:rsid w:val="62751A14"/>
    <w:rsid w:val="62A9226E"/>
    <w:rsid w:val="62C30BBE"/>
    <w:rsid w:val="63030E07"/>
    <w:rsid w:val="631321A0"/>
    <w:rsid w:val="63AE6299"/>
    <w:rsid w:val="63C1697C"/>
    <w:rsid w:val="63D374CE"/>
    <w:rsid w:val="63D464D8"/>
    <w:rsid w:val="645B63B1"/>
    <w:rsid w:val="648A1B6C"/>
    <w:rsid w:val="64D11873"/>
    <w:rsid w:val="650E563B"/>
    <w:rsid w:val="66495BDD"/>
    <w:rsid w:val="66853278"/>
    <w:rsid w:val="66C06B20"/>
    <w:rsid w:val="66D1263E"/>
    <w:rsid w:val="67433876"/>
    <w:rsid w:val="67AD0D27"/>
    <w:rsid w:val="67AD40C8"/>
    <w:rsid w:val="67B1772D"/>
    <w:rsid w:val="680B10C1"/>
    <w:rsid w:val="68370C8B"/>
    <w:rsid w:val="684C1B2A"/>
    <w:rsid w:val="687A03D1"/>
    <w:rsid w:val="687E6601"/>
    <w:rsid w:val="691E5706"/>
    <w:rsid w:val="69475245"/>
    <w:rsid w:val="694B1A4D"/>
    <w:rsid w:val="695F06ED"/>
    <w:rsid w:val="699E3A55"/>
    <w:rsid w:val="6A330C30"/>
    <w:rsid w:val="6A67569D"/>
    <w:rsid w:val="6A6F632C"/>
    <w:rsid w:val="6A9A4BF2"/>
    <w:rsid w:val="6AD53752"/>
    <w:rsid w:val="6B0420A3"/>
    <w:rsid w:val="6B3724F2"/>
    <w:rsid w:val="6B5F2192"/>
    <w:rsid w:val="6B6433C1"/>
    <w:rsid w:val="6B6E3B14"/>
    <w:rsid w:val="6BC35959"/>
    <w:rsid w:val="6BC4236D"/>
    <w:rsid w:val="6C205CF3"/>
    <w:rsid w:val="6C6D256F"/>
    <w:rsid w:val="6C6E7FF0"/>
    <w:rsid w:val="6C770900"/>
    <w:rsid w:val="6D1B461D"/>
    <w:rsid w:val="6D760823"/>
    <w:rsid w:val="6DAA1F76"/>
    <w:rsid w:val="6DAB79F8"/>
    <w:rsid w:val="6DCF21B6"/>
    <w:rsid w:val="6EFF612B"/>
    <w:rsid w:val="6F383D07"/>
    <w:rsid w:val="70342CA5"/>
    <w:rsid w:val="708F42B8"/>
    <w:rsid w:val="70C62525"/>
    <w:rsid w:val="70D04D21"/>
    <w:rsid w:val="71CE6406"/>
    <w:rsid w:val="722A535E"/>
    <w:rsid w:val="725B22AA"/>
    <w:rsid w:val="72C22F53"/>
    <w:rsid w:val="72D466F0"/>
    <w:rsid w:val="73C93B06"/>
    <w:rsid w:val="73D8518D"/>
    <w:rsid w:val="74337932"/>
    <w:rsid w:val="746B7A8B"/>
    <w:rsid w:val="74B41184"/>
    <w:rsid w:val="74CC682B"/>
    <w:rsid w:val="75602922"/>
    <w:rsid w:val="7566482B"/>
    <w:rsid w:val="758D4034"/>
    <w:rsid w:val="75C556E6"/>
    <w:rsid w:val="765972B7"/>
    <w:rsid w:val="76C8536C"/>
    <w:rsid w:val="76CA40F3"/>
    <w:rsid w:val="76CC3D72"/>
    <w:rsid w:val="772F6015"/>
    <w:rsid w:val="777F7099"/>
    <w:rsid w:val="77E943EA"/>
    <w:rsid w:val="78466A49"/>
    <w:rsid w:val="787768D5"/>
    <w:rsid w:val="78823444"/>
    <w:rsid w:val="78975968"/>
    <w:rsid w:val="796C0E43"/>
    <w:rsid w:val="79795F5A"/>
    <w:rsid w:val="798B0435"/>
    <w:rsid w:val="799C4845"/>
    <w:rsid w:val="7A230972"/>
    <w:rsid w:val="7A2618F6"/>
    <w:rsid w:val="7AF3156E"/>
    <w:rsid w:val="7AF763CB"/>
    <w:rsid w:val="7B14377D"/>
    <w:rsid w:val="7B4464CB"/>
    <w:rsid w:val="7B5C0DF0"/>
    <w:rsid w:val="7B646D7F"/>
    <w:rsid w:val="7B9207C8"/>
    <w:rsid w:val="7BB65505"/>
    <w:rsid w:val="7C086208"/>
    <w:rsid w:val="7C2535BA"/>
    <w:rsid w:val="7CD70E5F"/>
    <w:rsid w:val="7D726ADF"/>
    <w:rsid w:val="7D8C3E06"/>
    <w:rsid w:val="7D9B71F0"/>
    <w:rsid w:val="7D9C40A0"/>
    <w:rsid w:val="7DD035F6"/>
    <w:rsid w:val="7E5228CA"/>
    <w:rsid w:val="7EC9380E"/>
    <w:rsid w:val="7F0F3F82"/>
    <w:rsid w:val="7FD065BE"/>
    <w:rsid w:val="7FF8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tabs>
        <w:tab w:val="left" w:pos="-1698"/>
      </w:tabs>
      <w:spacing w:before="50" w:beforeLines="0" w:line="400" w:lineRule="exact"/>
    </w:pPr>
    <w:rPr>
      <w:sz w:val="24"/>
    </w:rPr>
  </w:style>
  <w:style w:type="paragraph" w:styleId="4">
    <w:name w:val="Plain Text"/>
    <w:basedOn w:val="1"/>
    <w:next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4"/>
      <w:szCs w:val="24"/>
      <w:u w:val="none"/>
    </w:rPr>
  </w:style>
  <w:style w:type="character" w:customStyle="1" w:styleId="11">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2981</Words>
  <Characters>3422</Characters>
  <Lines>0</Lines>
  <Paragraphs>0</Paragraphs>
  <TotalTime>165</TotalTime>
  <ScaleCrop>false</ScaleCrop>
  <LinksUpToDate>false</LinksUpToDate>
  <CharactersWithSpaces>3481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2022-11-23T07:06:00Z</dcterms:created>
  <dc:creator>Administrator</dc:creator>
  <cp:lastModifiedBy>曦</cp:lastModifiedBy>
  <cp:lastPrinted>2025-05-15T03:50:00Z</cp:lastPrinted>
  <dcterms:modified xsi:type="dcterms:W3CDTF">2025-05-30T01:58:25Z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95FD1B5386C8498E98D7A5AEA75AE42E_13</vt:lpwstr>
  </property>
  <property fmtid="{D5CDD505-2E9C-101B-9397-08002B2CF9AE}" pid="4" name="KSOTemplateDocerSaveRecord">
    <vt:lpwstr>eyJoZGlkIjoiYzU2MGNjNzg4MjUzZjc2YWQyMDljNDRmZDRmMDBkNTEiLCJ1c2VySWQiOiI4MDI3MzY3MzMifQ==</vt:lpwstr>
  </property>
</Properties>
</file>