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33"/>
        </w:tabs>
        <w:jc w:val="center"/>
        <w:rPr>
          <w:rFonts w:hint="eastAsia" w:eastAsia="宋体"/>
          <w:b/>
          <w:sz w:val="56"/>
          <w:szCs w:val="56"/>
          <w:lang w:eastAsia="zh-CN"/>
        </w:rPr>
      </w:pPr>
    </w:p>
    <w:p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  <w:r>
        <w:rPr>
          <w:rFonts w:hint="eastAsia" w:eastAsia="宋体"/>
          <w:b/>
          <w:sz w:val="56"/>
          <w:szCs w:val="56"/>
          <w:lang w:eastAsia="zh-CN"/>
        </w:rPr>
        <w:drawing>
          <wp:inline distT="0" distB="0" distL="114300" distR="114300">
            <wp:extent cx="2312035" cy="1555115"/>
            <wp:effectExtent l="0" t="0" r="0" b="0"/>
            <wp:docPr id="3" name="图片 3" descr="6d2a33447a9681acd98b57714985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2a33447a9681acd98b57714985b4f"/>
                    <pic:cNvPicPr>
                      <a:picLocks noChangeAspect="1"/>
                    </pic:cNvPicPr>
                  </pic:nvPicPr>
                  <pic:blipFill>
                    <a:blip r:embed="rId5"/>
                    <a:srcRect l="6549" t="10436" r="6675" b="13362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433"/>
        </w:tabs>
        <w:jc w:val="both"/>
        <w:rPr>
          <w:rFonts w:hint="eastAsia"/>
          <w:b/>
          <w:sz w:val="56"/>
          <w:szCs w:val="56"/>
        </w:rPr>
      </w:pPr>
    </w:p>
    <w:p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云南</w:t>
      </w:r>
      <w:r>
        <w:rPr>
          <w:rFonts w:hint="eastAsia"/>
          <w:b/>
          <w:sz w:val="56"/>
          <w:szCs w:val="56"/>
          <w:lang w:eastAsia="zh-CN"/>
        </w:rPr>
        <w:t>海胶橡胶产业</w:t>
      </w:r>
      <w:r>
        <w:rPr>
          <w:rFonts w:hint="eastAsia"/>
          <w:b/>
          <w:sz w:val="56"/>
          <w:szCs w:val="56"/>
        </w:rPr>
        <w:t>有限公司</w:t>
      </w:r>
    </w:p>
    <w:p>
      <w:pPr>
        <w:tabs>
          <w:tab w:val="left" w:pos="3433"/>
        </w:tabs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56"/>
          <w:szCs w:val="56"/>
        </w:rPr>
        <w:t>202</w:t>
      </w:r>
      <w:r>
        <w:rPr>
          <w:rFonts w:hint="eastAsia"/>
          <w:b/>
          <w:sz w:val="56"/>
          <w:szCs w:val="56"/>
          <w:lang w:val="en-US" w:eastAsia="zh-CN"/>
        </w:rPr>
        <w:t>4</w:t>
      </w:r>
      <w:r>
        <w:rPr>
          <w:rFonts w:hint="eastAsia"/>
          <w:b/>
          <w:sz w:val="56"/>
          <w:szCs w:val="56"/>
        </w:rPr>
        <w:t>年橡胶产品运输服务</w:t>
      </w:r>
    </w:p>
    <w:p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招</w:t>
      </w: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标</w:t>
      </w: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  <w:lang w:eastAsia="zh-CN"/>
        </w:rPr>
        <w:t>方</w:t>
      </w:r>
    </w:p>
    <w:p>
      <w:pPr>
        <w:jc w:val="center"/>
        <w:rPr>
          <w:rFonts w:hint="eastAsia"/>
          <w:b/>
          <w:sz w:val="84"/>
          <w:szCs w:val="84"/>
          <w:lang w:eastAsia="zh-CN"/>
        </w:rPr>
      </w:pPr>
      <w:r>
        <w:rPr>
          <w:rFonts w:hint="eastAsia"/>
          <w:b/>
          <w:sz w:val="84"/>
          <w:szCs w:val="84"/>
          <w:lang w:eastAsia="zh-CN"/>
        </w:rPr>
        <w:t>案</w:t>
      </w:r>
    </w:p>
    <w:p>
      <w:pPr>
        <w:tabs>
          <w:tab w:val="left" w:pos="3433"/>
        </w:tabs>
        <w:jc w:val="center"/>
        <w:rPr>
          <w:rFonts w:hint="eastAsia"/>
          <w:b/>
          <w:sz w:val="56"/>
          <w:szCs w:val="56"/>
        </w:rPr>
      </w:pPr>
    </w:p>
    <w:p>
      <w:pPr>
        <w:tabs>
          <w:tab w:val="left" w:pos="3433"/>
        </w:tabs>
        <w:jc w:val="center"/>
        <w:rPr>
          <w:rFonts w:hint="eastAsia"/>
          <w:b/>
          <w:sz w:val="56"/>
          <w:szCs w:val="56"/>
          <w:lang w:val="en-US" w:eastAsia="zh-CN"/>
        </w:rPr>
      </w:pPr>
    </w:p>
    <w:p>
      <w:pPr>
        <w:tabs>
          <w:tab w:val="left" w:pos="3433"/>
        </w:tabs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海胶橡胶产业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以下简称“云南海胶”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）将对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年橡胶产品运输服务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组织国内公开招标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，计划将评分靠前的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5家单位纳入云南海胶运输服务商(实际入围数量以评标结果为准)，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欢迎具备本项目资格要求的潜在投标人参加投标。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一、招标内容及标段划分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本年橡胶产品运输招标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划两个</w:t>
      </w:r>
      <w:r>
        <w:rPr>
          <w:rFonts w:hint="eastAsia" w:ascii="仿宋_GB2312" w:hAnsi="仿宋_GB2312" w:eastAsia="仿宋_GB2312" w:cs="仿宋_GB2312"/>
          <w:sz w:val="32"/>
          <w:szCs w:val="32"/>
        </w:rPr>
        <w:t>标段，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分别为境外标段和境内（云南省至省外）标段；境外采取全年固定运价，境内采取非固定运价，运价十日一询。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运输方式分为汽车运输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、公铁联运</w:t>
      </w:r>
      <w:r>
        <w:rPr>
          <w:rFonts w:hint="eastAsia" w:ascii="仿宋_GB2312" w:hAnsi="仿宋_GB2312" w:eastAsia="仿宋_GB2312" w:cs="仿宋_GB2312"/>
          <w:sz w:val="32"/>
          <w:szCs w:val="32"/>
        </w:rPr>
        <w:t>和海铁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联运等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二、服务期限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自合同签订起一年。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三、投标单位资格要求</w:t>
      </w:r>
    </w:p>
    <w:tbl>
      <w:tblPr>
        <w:tblStyle w:val="6"/>
        <w:tblW w:w="9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482"/>
        <w:gridCol w:w="4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具有民事责任能力的法人或其他组织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具备有效的营业执照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道路运输管理部门颁发，在有效期内的普通货运许可证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依法纳税记录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提供2023年度至今任意2个月的纳税证明材料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公司业绩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2020年至今有类似产品的运输经验，提供业绩证明材料的复印件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保险要求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必须购买不低于承运货物售价的商业保险（提供已购保险的证明材料或书面承诺）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信用记录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1.提供运输商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在中国执行信息公网（http://zxgk.court.gov.cn）未被列入失信被执行人，未被列入“信用中国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”网站政府采购严重违法失信行为记录名单和税收违法黑名单，黑名单企业取消投标资格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未被列入“信用中国（云南）”站（http://yncredit.yn.gov.cn）行政处罚和失信惩戒记录，企业未被列入国家企业信用信息公示系统（http://www.gsxt.gov.cn）经营异常名录和严重违法失信企业名单，黑名单企业取消投标资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3.在经营活动中没有重大违法记录声明书（详见附件1）（弄虚作假一经核实取消投标资格）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次招标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不接受联合体投标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四、报名方式及开标时间地点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请于2024年5月27日前将投标书及相关材料用特快专递邮寄或直接送达云南海胶。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日上午9：00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开标地点：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云南省西双版纳州景洪市泼水广场商业区C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区二单元四楼（云南海胶会议室）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联系人：杨旭 13197920351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五、投标文件构成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（一）营业执照（正、副本复印件）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法定代表人授权委托书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（委托人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道路运输经营许可证相关证明材料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（五）纳税记录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（六）公司业绩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（七）运输保险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信用记录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（九）报价材料（模板见报价单）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（十）资产负债率（提供上年加盖公章的资产负债表或审计报告）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（十一）主营业务收入（提供上年加盖公章的利润表或审计报告）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六、评分标准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（详见附件2）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七、运输要求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（一）承运人须确保货物安全送达，运输过程的任何风险及损失，概由承运人自行承担全责。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（二）装运载体须干净、无破损，须规范装卸，保证货物外袋不受潮和污染，同时保证袋内同样不能受潮受污染。由于承运运输过程产生的受湿、包装污染、破损以及缺件丢失等，概由承运人全责赔付。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（三）托盘胶运输途中应加垫隔板，保证托盘及外袋不损坏。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（四）工厂送货承运人须自行承担（由于工厂原因形成的）排队卸货、及不能当天卸货的费用风险。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（五）承运人自接受发运委托书之日起，须每天提供货物在途情况表（运输时提供样板）。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（六）运量是预估量，结算以实际业务量进行结算，无论入围单位最终承运多少货物，投标人均不得改变价格和服务质量。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八、2024年境外预估运量及拦标价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（一）预估运量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85"/>
        <w:gridCol w:w="2212"/>
        <w:gridCol w:w="1820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运输起始点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（各厂地址）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到达目的地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预估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运输数量（吨）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境外标段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会晒区域</w:t>
            </w:r>
          </w:p>
        </w:tc>
        <w:tc>
          <w:tcPr>
            <w:tcW w:w="2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磨憨/景洪/昆明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门到门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波里坎塞区域</w:t>
            </w:r>
          </w:p>
        </w:tc>
        <w:tc>
          <w:tcPr>
            <w:tcW w:w="2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磨憨/景洪/昆明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门到门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甘蒙区域</w:t>
            </w:r>
          </w:p>
        </w:tc>
        <w:tc>
          <w:tcPr>
            <w:tcW w:w="2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磨憨/景洪/昆明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门到门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区域</w:t>
            </w:r>
          </w:p>
        </w:tc>
        <w:tc>
          <w:tcPr>
            <w:tcW w:w="2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磨憨/景洪/昆明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门到门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（二）拦标价</w:t>
      </w:r>
    </w:p>
    <w:tbl>
      <w:tblPr>
        <w:tblStyle w:val="6"/>
        <w:tblW w:w="9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832"/>
        <w:gridCol w:w="1832"/>
        <w:gridCol w:w="1832"/>
        <w:gridCol w:w="1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境外装货地点</w:t>
            </w:r>
          </w:p>
        </w:tc>
        <w:tc>
          <w:tcPr>
            <w:tcW w:w="5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汽运拦标价（元/吨）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磨憨        （门到门）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景洪地区    （门到门）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昆明地区   （门到门）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会晒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220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390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波里坎塞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380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460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550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330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甘蒙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430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590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注：1.报价不得高于拦标价，否则按照废标处理，以“10元/吨”为最小调价单位。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2.国内段开具9%增值税发票，国外段0税。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3.运输费不含报关清关费用。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4.执行过程中运价波动±20%重新议价。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（以下无正文）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bookmarkStart w:id="0" w:name="_Toc15514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在经营活动中没有重大违法记录声明书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  <w:lang w:eastAsia="zh-CN"/>
        </w:rPr>
        <w:t>招标人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>名称）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我方在此声明，我方参加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三年内，在经营活动中没有重大违法记录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  <w:t>（重大违法记录是指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highlight w:val="none"/>
        </w:rPr>
        <w:t>因违法经营受到刑事处罚或者责令停产停业、吊销许可证或者执照、较大数额罚款等行政处罚）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我方保证上述信息的真实和准确，并愿意承担因我方就此弄虚作假所引起的一切法律后果。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特此声明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竞标单位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法定代表人或委托代理人：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24"/>
        <w:gridCol w:w="3915"/>
        <w:gridCol w:w="1561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51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19" w:leftChars="-295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  <w:t>运输招标评分表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2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19" w:leftChars="-295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公司名称: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评估得分:</w:t>
            </w:r>
          </w:p>
        </w:tc>
        <w:tc>
          <w:tcPr>
            <w:tcW w:w="14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评分人: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评估项目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评估标准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打分</w:t>
            </w:r>
          </w:p>
        </w:tc>
        <w:tc>
          <w:tcPr>
            <w:tcW w:w="14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报价不得高于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拦标价，不高于拦标价得10分，各线路报价每低于拦标价10元/吨加1分，加满为止(30分)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1.私营/集体企业，独立法人(5分)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2.上市公司/国有独资企业/外资/战略合作伙伴/国际著名物流企业独资或控股(10分)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实缴资本(万元》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1.小于50(0分)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2.50《含)-100万(1分)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3.100(含)-300万(2分)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4.300(含)-500(5分)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5.500(含》-1000(含)(8分)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6.1000以上(10分)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经营资质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1.普货公路运输(5分)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2.普货公路/铁路运输资质(6分)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3.普货公路/铁路/船舶运输资质(10分)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营业年限(年)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1.小于1(0分）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2.1(含)-2(1分)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3.2(含)-3(2分)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4.3(含)-4(3分)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5.4(含)-5(4分)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6.5(含)-6(5分)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7.6(含)-7(6分)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8.7(含)-10(8分)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9.10(含)以上(10分)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资产负债率(需提供公司盖章的资产负债表)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1.90%以上或无法提供资产负债表的(0分)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2023年财劳数据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2.70%-90%(3分)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3.50%-70%(6分)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4.50%以下(10分)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主营业务收入（需提供公司盖章的利润表)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1.50万元以内或无法提供利润报表的(0分)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2023年财务数据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2.50(含)-300万元(1分)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3.300(含)-500万元(3分)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4.500(含)-1000万元(6分)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5.1000(含)-5000万元(8分)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6.5000《含)万元以上(10分)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信用记录</w:t>
            </w: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1.无法提供或存在不良记录(0分)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2.信用记录完整且查询记录良好(10分)</w:t>
            </w:r>
          </w:p>
        </w:tc>
        <w:tc>
          <w:tcPr>
            <w:tcW w:w="15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MjBmN2NlM2ZmMTA4NzBhYTFkZjZlZTkxNzYyNTcifQ=="/>
  </w:docVars>
  <w:rsids>
    <w:rsidRoot w:val="00000000"/>
    <w:rsid w:val="003C3B92"/>
    <w:rsid w:val="005F7127"/>
    <w:rsid w:val="008C3CB1"/>
    <w:rsid w:val="008C4773"/>
    <w:rsid w:val="01006CB0"/>
    <w:rsid w:val="01025A37"/>
    <w:rsid w:val="013F7A9A"/>
    <w:rsid w:val="01964C25"/>
    <w:rsid w:val="01995BAA"/>
    <w:rsid w:val="01DC539A"/>
    <w:rsid w:val="024702CC"/>
    <w:rsid w:val="035F3318"/>
    <w:rsid w:val="03C52CBC"/>
    <w:rsid w:val="040A59AF"/>
    <w:rsid w:val="04A01725"/>
    <w:rsid w:val="04B34B43"/>
    <w:rsid w:val="04BA7D51"/>
    <w:rsid w:val="04FD623C"/>
    <w:rsid w:val="050071C0"/>
    <w:rsid w:val="05EB5EC4"/>
    <w:rsid w:val="06141287"/>
    <w:rsid w:val="069D7EE6"/>
    <w:rsid w:val="06F53DF8"/>
    <w:rsid w:val="072510C4"/>
    <w:rsid w:val="07937179"/>
    <w:rsid w:val="09573962"/>
    <w:rsid w:val="0A5B410A"/>
    <w:rsid w:val="0AB86A22"/>
    <w:rsid w:val="0AE465EC"/>
    <w:rsid w:val="0B8528F2"/>
    <w:rsid w:val="0B9D381C"/>
    <w:rsid w:val="0C8A21A0"/>
    <w:rsid w:val="0D06536D"/>
    <w:rsid w:val="0E4B437F"/>
    <w:rsid w:val="0F581039"/>
    <w:rsid w:val="0FBF5566"/>
    <w:rsid w:val="0FF40EB8"/>
    <w:rsid w:val="10052457"/>
    <w:rsid w:val="108A5F33"/>
    <w:rsid w:val="110A553C"/>
    <w:rsid w:val="11146D91"/>
    <w:rsid w:val="11452DE3"/>
    <w:rsid w:val="11CF6595"/>
    <w:rsid w:val="11E6296C"/>
    <w:rsid w:val="12224D50"/>
    <w:rsid w:val="123526EB"/>
    <w:rsid w:val="125D5E2E"/>
    <w:rsid w:val="12C82F5F"/>
    <w:rsid w:val="12CE4E68"/>
    <w:rsid w:val="12EB6997"/>
    <w:rsid w:val="135F0ED4"/>
    <w:rsid w:val="137C6286"/>
    <w:rsid w:val="13C156F5"/>
    <w:rsid w:val="13FC67C8"/>
    <w:rsid w:val="144A1DD6"/>
    <w:rsid w:val="147C16AC"/>
    <w:rsid w:val="14C72A25"/>
    <w:rsid w:val="14DA74C7"/>
    <w:rsid w:val="16BD3DD9"/>
    <w:rsid w:val="171170E7"/>
    <w:rsid w:val="171F3E7E"/>
    <w:rsid w:val="17EC7D4E"/>
    <w:rsid w:val="17EF0CD3"/>
    <w:rsid w:val="18AB6E88"/>
    <w:rsid w:val="18AC1086"/>
    <w:rsid w:val="19075F1D"/>
    <w:rsid w:val="193E1C7A"/>
    <w:rsid w:val="19613133"/>
    <w:rsid w:val="19835866"/>
    <w:rsid w:val="1A3B5015"/>
    <w:rsid w:val="1A3B78AA"/>
    <w:rsid w:val="1A49562F"/>
    <w:rsid w:val="1A710D72"/>
    <w:rsid w:val="1A885114"/>
    <w:rsid w:val="1B080EE5"/>
    <w:rsid w:val="1B0F4F52"/>
    <w:rsid w:val="1B101B75"/>
    <w:rsid w:val="1B4A0A55"/>
    <w:rsid w:val="1BB75806"/>
    <w:rsid w:val="1BDE7C44"/>
    <w:rsid w:val="1BF4566B"/>
    <w:rsid w:val="1C220738"/>
    <w:rsid w:val="1C4A4D75"/>
    <w:rsid w:val="1C5046FF"/>
    <w:rsid w:val="1CF5041B"/>
    <w:rsid w:val="1D0F3839"/>
    <w:rsid w:val="1D22285A"/>
    <w:rsid w:val="1D3849FD"/>
    <w:rsid w:val="1D652049"/>
    <w:rsid w:val="1DB6406F"/>
    <w:rsid w:val="1E4516B7"/>
    <w:rsid w:val="1F0D587D"/>
    <w:rsid w:val="1F325ABD"/>
    <w:rsid w:val="1F936DDB"/>
    <w:rsid w:val="1FDB71CF"/>
    <w:rsid w:val="1FEB2CED"/>
    <w:rsid w:val="20371AE7"/>
    <w:rsid w:val="206B6ABE"/>
    <w:rsid w:val="211A20DA"/>
    <w:rsid w:val="2142329E"/>
    <w:rsid w:val="22181FFD"/>
    <w:rsid w:val="221E7789"/>
    <w:rsid w:val="229A12D1"/>
    <w:rsid w:val="233C68DC"/>
    <w:rsid w:val="25001A40"/>
    <w:rsid w:val="253E2BAA"/>
    <w:rsid w:val="25780405"/>
    <w:rsid w:val="261D2218"/>
    <w:rsid w:val="262B372C"/>
    <w:rsid w:val="266C581A"/>
    <w:rsid w:val="276A4438"/>
    <w:rsid w:val="28673056"/>
    <w:rsid w:val="28A14135"/>
    <w:rsid w:val="28E229A0"/>
    <w:rsid w:val="29765412"/>
    <w:rsid w:val="29B07B75"/>
    <w:rsid w:val="2A21112E"/>
    <w:rsid w:val="2A7D01C3"/>
    <w:rsid w:val="2BC01AD4"/>
    <w:rsid w:val="2BCF20EE"/>
    <w:rsid w:val="2BD01D6E"/>
    <w:rsid w:val="2DA30D70"/>
    <w:rsid w:val="2DB35787"/>
    <w:rsid w:val="2E0A6195"/>
    <w:rsid w:val="2E0C4F1C"/>
    <w:rsid w:val="2E576295"/>
    <w:rsid w:val="2ECE71D8"/>
    <w:rsid w:val="2F0D5DDC"/>
    <w:rsid w:val="2F4910A0"/>
    <w:rsid w:val="2F5064AC"/>
    <w:rsid w:val="2F735768"/>
    <w:rsid w:val="2FDB378B"/>
    <w:rsid w:val="30121DEE"/>
    <w:rsid w:val="30372F27"/>
    <w:rsid w:val="3060796F"/>
    <w:rsid w:val="311E7AF8"/>
    <w:rsid w:val="316F64A7"/>
    <w:rsid w:val="31AC410D"/>
    <w:rsid w:val="31D729D3"/>
    <w:rsid w:val="31E5776A"/>
    <w:rsid w:val="32103E32"/>
    <w:rsid w:val="322317CE"/>
    <w:rsid w:val="32904380"/>
    <w:rsid w:val="32B92FC6"/>
    <w:rsid w:val="32F440A4"/>
    <w:rsid w:val="33051DC0"/>
    <w:rsid w:val="33A46447"/>
    <w:rsid w:val="33DA6921"/>
    <w:rsid w:val="341C738A"/>
    <w:rsid w:val="34C51DA1"/>
    <w:rsid w:val="34FB227B"/>
    <w:rsid w:val="35EB1B84"/>
    <w:rsid w:val="360D33BD"/>
    <w:rsid w:val="365D4441"/>
    <w:rsid w:val="36692452"/>
    <w:rsid w:val="36B315CD"/>
    <w:rsid w:val="36C066E4"/>
    <w:rsid w:val="36D80507"/>
    <w:rsid w:val="36F13630"/>
    <w:rsid w:val="372C3815"/>
    <w:rsid w:val="372E7C5C"/>
    <w:rsid w:val="3751494E"/>
    <w:rsid w:val="37C329C2"/>
    <w:rsid w:val="380421F3"/>
    <w:rsid w:val="382C33B7"/>
    <w:rsid w:val="38804D57"/>
    <w:rsid w:val="38E42B66"/>
    <w:rsid w:val="38F34AC9"/>
    <w:rsid w:val="38FA4D0A"/>
    <w:rsid w:val="3949030C"/>
    <w:rsid w:val="39985E8D"/>
    <w:rsid w:val="399C2315"/>
    <w:rsid w:val="39A86127"/>
    <w:rsid w:val="39CA1B5F"/>
    <w:rsid w:val="39E06281"/>
    <w:rsid w:val="3A4631BF"/>
    <w:rsid w:val="3A9E1B37"/>
    <w:rsid w:val="3ADB521F"/>
    <w:rsid w:val="3AFF4EAF"/>
    <w:rsid w:val="3B8C75C1"/>
    <w:rsid w:val="3CAA4196"/>
    <w:rsid w:val="3CB44AA5"/>
    <w:rsid w:val="3D8C258A"/>
    <w:rsid w:val="3D900F90"/>
    <w:rsid w:val="3DD3167A"/>
    <w:rsid w:val="3E8E531E"/>
    <w:rsid w:val="3ECB1C12"/>
    <w:rsid w:val="3EE77B9E"/>
    <w:rsid w:val="3F0C10F2"/>
    <w:rsid w:val="3F9006D6"/>
    <w:rsid w:val="408F27F7"/>
    <w:rsid w:val="40DE086C"/>
    <w:rsid w:val="41B75ADD"/>
    <w:rsid w:val="41EC3DB8"/>
    <w:rsid w:val="420A3368"/>
    <w:rsid w:val="429A1953"/>
    <w:rsid w:val="429E0F08"/>
    <w:rsid w:val="42EA4BD5"/>
    <w:rsid w:val="42FF12F7"/>
    <w:rsid w:val="43A60B8B"/>
    <w:rsid w:val="43F23209"/>
    <w:rsid w:val="441433BD"/>
    <w:rsid w:val="44457410"/>
    <w:rsid w:val="462F49B1"/>
    <w:rsid w:val="46A71178"/>
    <w:rsid w:val="474F593B"/>
    <w:rsid w:val="48F90270"/>
    <w:rsid w:val="49244D8F"/>
    <w:rsid w:val="493801AD"/>
    <w:rsid w:val="494E2350"/>
    <w:rsid w:val="49896CB2"/>
    <w:rsid w:val="4ABE4B31"/>
    <w:rsid w:val="4B942400"/>
    <w:rsid w:val="4BC230D9"/>
    <w:rsid w:val="4D226519"/>
    <w:rsid w:val="4D3104A7"/>
    <w:rsid w:val="4D505D63"/>
    <w:rsid w:val="4D544769"/>
    <w:rsid w:val="4DF0689A"/>
    <w:rsid w:val="4E1E2F39"/>
    <w:rsid w:val="4E287FC5"/>
    <w:rsid w:val="4E4E3A88"/>
    <w:rsid w:val="4E7116BE"/>
    <w:rsid w:val="4EE80403"/>
    <w:rsid w:val="4F213A60"/>
    <w:rsid w:val="4F4B26A6"/>
    <w:rsid w:val="50151D6F"/>
    <w:rsid w:val="50414974"/>
    <w:rsid w:val="50473843"/>
    <w:rsid w:val="50B463F5"/>
    <w:rsid w:val="50E955CA"/>
    <w:rsid w:val="51E25DA3"/>
    <w:rsid w:val="51FF0996"/>
    <w:rsid w:val="5219373E"/>
    <w:rsid w:val="525C54AC"/>
    <w:rsid w:val="530449C0"/>
    <w:rsid w:val="530968C9"/>
    <w:rsid w:val="532C2301"/>
    <w:rsid w:val="534244A5"/>
    <w:rsid w:val="53840791"/>
    <w:rsid w:val="53963F2F"/>
    <w:rsid w:val="5443314E"/>
    <w:rsid w:val="54B5164D"/>
    <w:rsid w:val="54D33936"/>
    <w:rsid w:val="54DE7749"/>
    <w:rsid w:val="56501E4C"/>
    <w:rsid w:val="565F21C4"/>
    <w:rsid w:val="56633FB6"/>
    <w:rsid w:val="56885586"/>
    <w:rsid w:val="56C00F63"/>
    <w:rsid w:val="572F3796"/>
    <w:rsid w:val="57562AB6"/>
    <w:rsid w:val="587E21BE"/>
    <w:rsid w:val="58982D68"/>
    <w:rsid w:val="5910752F"/>
    <w:rsid w:val="59C67F57"/>
    <w:rsid w:val="5A5E13CF"/>
    <w:rsid w:val="5A704B6C"/>
    <w:rsid w:val="5A812888"/>
    <w:rsid w:val="5AAC6F50"/>
    <w:rsid w:val="5B013F5E"/>
    <w:rsid w:val="5B117F79"/>
    <w:rsid w:val="5C8C6FF0"/>
    <w:rsid w:val="5CA33FBF"/>
    <w:rsid w:val="5CB318A3"/>
    <w:rsid w:val="5CBF56B6"/>
    <w:rsid w:val="5D7F5AF4"/>
    <w:rsid w:val="5D870982"/>
    <w:rsid w:val="5DAC403A"/>
    <w:rsid w:val="5EDF69B5"/>
    <w:rsid w:val="5F737229"/>
    <w:rsid w:val="5F980362"/>
    <w:rsid w:val="60733548"/>
    <w:rsid w:val="607E218F"/>
    <w:rsid w:val="60AA0313"/>
    <w:rsid w:val="6171346B"/>
    <w:rsid w:val="61724770"/>
    <w:rsid w:val="62184EFE"/>
    <w:rsid w:val="62716891"/>
    <w:rsid w:val="62751A14"/>
    <w:rsid w:val="62A9226E"/>
    <w:rsid w:val="62C30BBE"/>
    <w:rsid w:val="631321A0"/>
    <w:rsid w:val="63AE6299"/>
    <w:rsid w:val="63C1697C"/>
    <w:rsid w:val="63D374CE"/>
    <w:rsid w:val="63D464D8"/>
    <w:rsid w:val="645B63B1"/>
    <w:rsid w:val="648A1B6C"/>
    <w:rsid w:val="64D11873"/>
    <w:rsid w:val="66495BDD"/>
    <w:rsid w:val="66853278"/>
    <w:rsid w:val="66C06B20"/>
    <w:rsid w:val="66D1263E"/>
    <w:rsid w:val="67433876"/>
    <w:rsid w:val="67AD0D27"/>
    <w:rsid w:val="67AD40C8"/>
    <w:rsid w:val="67B1772D"/>
    <w:rsid w:val="680B10C1"/>
    <w:rsid w:val="68370C8B"/>
    <w:rsid w:val="684C1B2A"/>
    <w:rsid w:val="687E6601"/>
    <w:rsid w:val="691E5706"/>
    <w:rsid w:val="69475245"/>
    <w:rsid w:val="694B1A4D"/>
    <w:rsid w:val="695F06ED"/>
    <w:rsid w:val="699E3A55"/>
    <w:rsid w:val="6A67569D"/>
    <w:rsid w:val="6A6F632C"/>
    <w:rsid w:val="6A9A4BF2"/>
    <w:rsid w:val="6AD53752"/>
    <w:rsid w:val="6B0420A3"/>
    <w:rsid w:val="6B3724F2"/>
    <w:rsid w:val="6B6433C1"/>
    <w:rsid w:val="6BC35959"/>
    <w:rsid w:val="6BC4236D"/>
    <w:rsid w:val="6C205CF3"/>
    <w:rsid w:val="6C6D256F"/>
    <w:rsid w:val="6C6E7FF0"/>
    <w:rsid w:val="6C770900"/>
    <w:rsid w:val="6D760823"/>
    <w:rsid w:val="6DAA1F76"/>
    <w:rsid w:val="6DAB79F8"/>
    <w:rsid w:val="6DCF21B6"/>
    <w:rsid w:val="6EFF612B"/>
    <w:rsid w:val="6F383D07"/>
    <w:rsid w:val="70342CA5"/>
    <w:rsid w:val="708F42B8"/>
    <w:rsid w:val="70C62525"/>
    <w:rsid w:val="70D04D21"/>
    <w:rsid w:val="71CE6406"/>
    <w:rsid w:val="722A535E"/>
    <w:rsid w:val="725B22AA"/>
    <w:rsid w:val="72C22F53"/>
    <w:rsid w:val="72D466F0"/>
    <w:rsid w:val="73C93B06"/>
    <w:rsid w:val="73D8518D"/>
    <w:rsid w:val="74337932"/>
    <w:rsid w:val="746B7A8B"/>
    <w:rsid w:val="74B41184"/>
    <w:rsid w:val="74CC682B"/>
    <w:rsid w:val="75602922"/>
    <w:rsid w:val="7566482B"/>
    <w:rsid w:val="758D4034"/>
    <w:rsid w:val="75C556E6"/>
    <w:rsid w:val="765972B7"/>
    <w:rsid w:val="76C8536C"/>
    <w:rsid w:val="76CA40F3"/>
    <w:rsid w:val="76CC3D72"/>
    <w:rsid w:val="772F6015"/>
    <w:rsid w:val="777F7099"/>
    <w:rsid w:val="78466A49"/>
    <w:rsid w:val="78823444"/>
    <w:rsid w:val="78975968"/>
    <w:rsid w:val="796C0E43"/>
    <w:rsid w:val="79795F5A"/>
    <w:rsid w:val="798B0435"/>
    <w:rsid w:val="7A230972"/>
    <w:rsid w:val="7A2618F6"/>
    <w:rsid w:val="7AF3156E"/>
    <w:rsid w:val="7AF763CB"/>
    <w:rsid w:val="7B14377D"/>
    <w:rsid w:val="7B4464CB"/>
    <w:rsid w:val="7B646D7F"/>
    <w:rsid w:val="7B9207C8"/>
    <w:rsid w:val="7BB65505"/>
    <w:rsid w:val="7C086208"/>
    <w:rsid w:val="7C2535BA"/>
    <w:rsid w:val="7D726ADF"/>
    <w:rsid w:val="7D8C3E06"/>
    <w:rsid w:val="7D9C40A0"/>
    <w:rsid w:val="7DD035F6"/>
    <w:rsid w:val="7E5228CA"/>
    <w:rsid w:val="7EC9380E"/>
    <w:rsid w:val="7F0F3F82"/>
    <w:rsid w:val="7FD065BE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-1698"/>
      </w:tabs>
      <w:spacing w:before="50" w:beforeLines="0" w:line="400" w:lineRule="exact"/>
    </w:pPr>
    <w:rPr>
      <w:sz w:val="24"/>
    </w:rPr>
  </w:style>
  <w:style w:type="paragraph" w:styleId="3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2022-11-23T07:06:00Z</dcterms:created>
  <dc:creator>Administrator</dc:creator>
  <cp:lastModifiedBy>小小</cp:lastModifiedBy>
  <cp:lastPrinted>2024-05-06T09:19:00Z</cp:lastPrinted>
  <dcterms:modified xsi:type="dcterms:W3CDTF">2024-05-14T03:36:45Z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1A39CB4FCD374A10BED413915FDBFCB6</vt:lpwstr>
  </property>
</Properties>
</file>